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9D543" w14:textId="77777777" w:rsidR="004741CA" w:rsidRPr="00AC06F5" w:rsidRDefault="006C6F76">
      <w:pPr>
        <w:tabs>
          <w:tab w:val="center" w:pos="9427"/>
        </w:tabs>
        <w:spacing w:after="0"/>
        <w:rPr>
          <w:rFonts w:ascii="Roboto Slab" w:hAnsi="Roboto Slab" w:cs="Arial"/>
          <w:sz w:val="20"/>
        </w:rPr>
      </w:pPr>
      <w:r w:rsidRPr="00AC06F5">
        <w:rPr>
          <w:rFonts w:ascii="Roboto Slab" w:eastAsia="Times New Roman" w:hAnsi="Roboto Slab" w:cs="Arial"/>
          <w:sz w:val="44"/>
        </w:rPr>
        <w:t xml:space="preserve">Job Description </w:t>
      </w:r>
      <w:r w:rsidRPr="00AC06F5">
        <w:rPr>
          <w:rFonts w:ascii="Roboto Slab" w:eastAsia="Times New Roman" w:hAnsi="Roboto Slab" w:cs="Arial"/>
          <w:sz w:val="44"/>
        </w:rPr>
        <w:tab/>
      </w:r>
    </w:p>
    <w:p w14:paraId="6E274819" w14:textId="77777777" w:rsidR="004741CA" w:rsidRPr="00AC06F5" w:rsidRDefault="006C6F76">
      <w:pPr>
        <w:spacing w:after="0"/>
        <w:jc w:val="right"/>
        <w:rPr>
          <w:rFonts w:ascii="Roboto Slab" w:hAnsi="Roboto Slab" w:cs="Arial"/>
          <w:sz w:val="20"/>
        </w:rPr>
      </w:pPr>
      <w:r w:rsidRPr="00AC06F5">
        <w:rPr>
          <w:rFonts w:ascii="Roboto Slab" w:hAnsi="Roboto Slab" w:cs="Arial"/>
          <w:noProof/>
          <w:sz w:val="20"/>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AC06F5">
        <w:rPr>
          <w:rFonts w:ascii="Roboto Slab" w:hAnsi="Roboto Slab" w:cs="Arial"/>
          <w:sz w:val="20"/>
        </w:rPr>
        <w:t xml:space="preserve"> </w:t>
      </w:r>
    </w:p>
    <w:p w14:paraId="7405E256" w14:textId="77777777" w:rsidR="002928C4" w:rsidRPr="00AC06F5" w:rsidRDefault="002928C4">
      <w:pPr>
        <w:spacing w:after="173"/>
        <w:rPr>
          <w:rFonts w:ascii="Roboto Slab" w:eastAsia="Times New Roman" w:hAnsi="Roboto Slab" w:cs="Arial"/>
          <w:color w:val="404040"/>
          <w:sz w:val="20"/>
        </w:rPr>
      </w:pPr>
    </w:p>
    <w:p w14:paraId="20C8F5CE" w14:textId="77777777" w:rsidR="002928C4" w:rsidRPr="00AC06F5" w:rsidRDefault="002928C4">
      <w:pPr>
        <w:spacing w:after="173"/>
        <w:rPr>
          <w:rFonts w:ascii="Roboto Slab" w:eastAsia="Times New Roman" w:hAnsi="Roboto Slab" w:cs="Arial"/>
          <w:color w:val="404040"/>
          <w:sz w:val="20"/>
        </w:rPr>
      </w:pPr>
      <w:r w:rsidRPr="00AC06F5">
        <w:rPr>
          <w:rFonts w:ascii="Roboto Slab" w:eastAsia="Times New Roman" w:hAnsi="Roboto Slab" w:cs="Arial"/>
          <w:color w:val="404040"/>
          <w:sz w:val="20"/>
        </w:rPr>
        <w:t xml:space="preserve">JOB TITLE: </w:t>
      </w:r>
      <w:r w:rsidR="009346A9" w:rsidRPr="00AC06F5">
        <w:rPr>
          <w:rFonts w:ascii="Roboto Slab" w:eastAsia="Times New Roman" w:hAnsi="Roboto Slab" w:cs="Arial"/>
          <w:color w:val="404040"/>
          <w:sz w:val="20"/>
        </w:rPr>
        <w:t xml:space="preserve">Regulatory Reporting Accountant </w:t>
      </w:r>
    </w:p>
    <w:p w14:paraId="588A9D5A" w14:textId="77777777" w:rsidR="002928C4" w:rsidRPr="00AC06F5" w:rsidRDefault="002928C4">
      <w:pPr>
        <w:spacing w:after="173"/>
        <w:rPr>
          <w:rFonts w:ascii="Roboto Slab" w:eastAsia="Times New Roman" w:hAnsi="Roboto Slab" w:cs="Arial"/>
          <w:color w:val="404040"/>
          <w:sz w:val="20"/>
        </w:rPr>
      </w:pPr>
      <w:r w:rsidRPr="00AC06F5">
        <w:rPr>
          <w:rFonts w:ascii="Roboto Slab" w:eastAsia="Times New Roman" w:hAnsi="Roboto Slab" w:cs="Arial"/>
          <w:color w:val="404040"/>
          <w:sz w:val="20"/>
        </w:rPr>
        <w:t>GRADE:</w:t>
      </w:r>
      <w:r w:rsidR="00CB16F5" w:rsidRPr="00AC06F5">
        <w:rPr>
          <w:rFonts w:ascii="Roboto Slab" w:eastAsia="Times New Roman" w:hAnsi="Roboto Slab" w:cs="Arial"/>
          <w:color w:val="404040"/>
          <w:sz w:val="20"/>
        </w:rPr>
        <w:t xml:space="preserve"> </w:t>
      </w:r>
      <w:r w:rsidR="00BF10E8">
        <w:rPr>
          <w:rFonts w:ascii="Roboto Slab" w:eastAsia="Times New Roman" w:hAnsi="Roboto Slab" w:cs="Arial"/>
          <w:color w:val="404040"/>
          <w:sz w:val="20"/>
        </w:rPr>
        <w:t>4</w:t>
      </w:r>
    </w:p>
    <w:p w14:paraId="58C36467" w14:textId="77777777" w:rsidR="002928C4" w:rsidRPr="00AC06F5" w:rsidRDefault="002928C4">
      <w:pPr>
        <w:spacing w:after="173"/>
        <w:rPr>
          <w:rFonts w:ascii="Roboto Slab" w:eastAsia="Times New Roman" w:hAnsi="Roboto Slab" w:cs="Arial"/>
          <w:color w:val="404040"/>
          <w:sz w:val="20"/>
        </w:rPr>
      </w:pPr>
      <w:r w:rsidRPr="00AC06F5">
        <w:rPr>
          <w:rFonts w:ascii="Roboto Slab" w:eastAsia="Times New Roman" w:hAnsi="Roboto Slab" w:cs="Arial"/>
          <w:color w:val="404040"/>
          <w:sz w:val="20"/>
        </w:rPr>
        <w:t xml:space="preserve">REPORTING TO: </w:t>
      </w:r>
      <w:r w:rsidR="009346A9" w:rsidRPr="00AC06F5">
        <w:rPr>
          <w:rFonts w:ascii="Roboto Slab" w:eastAsia="Times New Roman" w:hAnsi="Roboto Slab" w:cs="Arial"/>
          <w:color w:val="404040"/>
          <w:sz w:val="20"/>
        </w:rPr>
        <w:t>Regulatory Reporting Manager</w:t>
      </w:r>
    </w:p>
    <w:p w14:paraId="5AEFB409" w14:textId="77777777" w:rsidR="002928C4" w:rsidRPr="00AC06F5" w:rsidRDefault="002928C4">
      <w:pPr>
        <w:spacing w:after="173"/>
        <w:rPr>
          <w:rFonts w:ascii="Roboto Slab" w:eastAsia="Times New Roman" w:hAnsi="Roboto Slab" w:cs="Arial"/>
          <w:color w:val="404040"/>
          <w:sz w:val="20"/>
        </w:rPr>
      </w:pPr>
      <w:r w:rsidRPr="00AC06F5">
        <w:rPr>
          <w:rFonts w:ascii="Roboto Slab" w:eastAsia="Times New Roman" w:hAnsi="Roboto Slab" w:cs="Arial"/>
          <w:color w:val="404040"/>
          <w:sz w:val="20"/>
        </w:rPr>
        <w:t xml:space="preserve">LOCATION: </w:t>
      </w:r>
      <w:r w:rsidR="009346A9" w:rsidRPr="00AC06F5">
        <w:rPr>
          <w:rFonts w:ascii="Roboto Slab" w:eastAsia="Times New Roman" w:hAnsi="Roboto Slab" w:cs="Arial"/>
          <w:color w:val="404040"/>
          <w:sz w:val="20"/>
        </w:rPr>
        <w:t>London</w:t>
      </w:r>
    </w:p>
    <w:p w14:paraId="38DA9756" w14:textId="77777777" w:rsidR="002928C4" w:rsidRPr="00AC06F5" w:rsidRDefault="002928C4">
      <w:pPr>
        <w:pStyle w:val="Heading1"/>
        <w:pBdr>
          <w:bottom w:val="single" w:sz="6" w:space="1" w:color="auto"/>
        </w:pBdr>
        <w:ind w:left="-5"/>
        <w:rPr>
          <w:rFonts w:ascii="Roboto Slab" w:hAnsi="Roboto Slab" w:cs="Arial"/>
          <w:sz w:val="20"/>
        </w:rPr>
      </w:pPr>
    </w:p>
    <w:p w14:paraId="34EC7E75" w14:textId="77777777" w:rsidR="008D24E4" w:rsidRPr="00AC06F5" w:rsidRDefault="008D24E4" w:rsidP="008D24E4">
      <w:pPr>
        <w:rPr>
          <w:rFonts w:ascii="Roboto Slab" w:hAnsi="Roboto Slab"/>
          <w:sz w:val="20"/>
        </w:rPr>
      </w:pPr>
    </w:p>
    <w:p w14:paraId="6FBC1B87" w14:textId="77777777" w:rsidR="004741CA" w:rsidRPr="00AC06F5" w:rsidRDefault="008D24E4">
      <w:pPr>
        <w:pStyle w:val="Heading1"/>
        <w:ind w:left="-5"/>
        <w:rPr>
          <w:rFonts w:ascii="Roboto Slab" w:hAnsi="Roboto Slab" w:cs="Arial"/>
          <w:b/>
          <w:sz w:val="20"/>
        </w:rPr>
      </w:pPr>
      <w:r w:rsidRPr="00AC06F5">
        <w:rPr>
          <w:rFonts w:ascii="Roboto Slab" w:hAnsi="Roboto Slab" w:cs="Arial"/>
          <w:b/>
          <w:sz w:val="20"/>
        </w:rPr>
        <w:t>ABOUT US:</w:t>
      </w:r>
    </w:p>
    <w:p w14:paraId="1E78FFC2" w14:textId="77777777" w:rsidR="008D24E4" w:rsidRPr="00AC06F5" w:rsidRDefault="008D24E4" w:rsidP="00B11C41">
      <w:pPr>
        <w:rPr>
          <w:rFonts w:ascii="Roboto Slab" w:hAnsi="Roboto Slab" w:cs="Arial"/>
          <w:color w:val="000000" w:themeColor="text1"/>
          <w:sz w:val="20"/>
        </w:rPr>
      </w:pPr>
    </w:p>
    <w:p w14:paraId="22F876BE" w14:textId="77777777" w:rsidR="00B11C41" w:rsidRPr="00AC06F5" w:rsidRDefault="00B11C41" w:rsidP="00B11C41">
      <w:pPr>
        <w:rPr>
          <w:rFonts w:ascii="Arial" w:eastAsiaTheme="minorHAnsi" w:hAnsi="Arial" w:cs="Arial"/>
          <w:color w:val="000000" w:themeColor="text1"/>
          <w:sz w:val="20"/>
        </w:rPr>
      </w:pPr>
      <w:r w:rsidRPr="00AC06F5">
        <w:rPr>
          <w:rFonts w:ascii="Arial" w:hAnsi="Arial" w:cs="Arial"/>
          <w:color w:val="000000" w:themeColor="text1"/>
          <w:sz w:val="20"/>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14:paraId="30F01285" w14:textId="77777777" w:rsidR="008D24E4" w:rsidRPr="00AC06F5" w:rsidRDefault="008D24E4" w:rsidP="002928C4">
      <w:pPr>
        <w:pBdr>
          <w:bottom w:val="single" w:sz="6" w:space="1" w:color="auto"/>
        </w:pBdr>
        <w:spacing w:after="0"/>
        <w:rPr>
          <w:rFonts w:ascii="Roboto Slab" w:hAnsi="Roboto Slab" w:cs="Arial"/>
          <w:b/>
          <w:sz w:val="20"/>
        </w:rPr>
      </w:pPr>
    </w:p>
    <w:p w14:paraId="05033457" w14:textId="77777777" w:rsidR="008D24E4" w:rsidRPr="00AC06F5" w:rsidRDefault="008D24E4" w:rsidP="002928C4">
      <w:pPr>
        <w:spacing w:after="0"/>
        <w:rPr>
          <w:rFonts w:ascii="Roboto Slab" w:hAnsi="Roboto Slab" w:cs="Arial"/>
          <w:b/>
          <w:sz w:val="20"/>
        </w:rPr>
      </w:pPr>
    </w:p>
    <w:p w14:paraId="66FB8DAC" w14:textId="77777777" w:rsidR="004741CA" w:rsidRPr="00AC06F5" w:rsidRDefault="00C43846" w:rsidP="002928C4">
      <w:pPr>
        <w:spacing w:after="0"/>
        <w:rPr>
          <w:rFonts w:ascii="Roboto Slab" w:hAnsi="Roboto Slab" w:cs="Arial"/>
          <w:b/>
          <w:sz w:val="20"/>
        </w:rPr>
      </w:pPr>
      <w:r w:rsidRPr="00AC06F5">
        <w:rPr>
          <w:rFonts w:ascii="Roboto Slab" w:hAnsi="Roboto Slab" w:cs="Arial"/>
          <w:b/>
          <w:sz w:val="20"/>
        </w:rPr>
        <w:t>THE</w:t>
      </w:r>
      <w:r w:rsidR="008D24E4" w:rsidRPr="00AC06F5">
        <w:rPr>
          <w:rFonts w:ascii="Roboto Slab" w:hAnsi="Roboto Slab" w:cs="Arial"/>
          <w:b/>
          <w:sz w:val="20"/>
        </w:rPr>
        <w:t xml:space="preserve"> ROLE:</w:t>
      </w:r>
    </w:p>
    <w:p w14:paraId="5B76F5CB" w14:textId="77777777" w:rsidR="009346A9" w:rsidRPr="00AC06F5" w:rsidRDefault="009346A9" w:rsidP="002928C4">
      <w:pPr>
        <w:spacing w:after="0"/>
        <w:rPr>
          <w:rFonts w:ascii="Roboto Slab" w:hAnsi="Roboto Slab" w:cs="Arial"/>
          <w:b/>
          <w:sz w:val="20"/>
        </w:rPr>
      </w:pPr>
    </w:p>
    <w:p w14:paraId="7DC065AD" w14:textId="77777777" w:rsidR="009346A9" w:rsidRPr="00AC06F5" w:rsidRDefault="009346A9" w:rsidP="009346A9">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2"/>
          <w:u w:val="single"/>
        </w:rPr>
      </w:pPr>
      <w:r w:rsidRPr="00AC06F5">
        <w:rPr>
          <w:rFonts w:ascii="Arial" w:hAnsi="Arial" w:cs="Arial"/>
          <w:sz w:val="20"/>
          <w:szCs w:val="22"/>
        </w:rPr>
        <w:t>To be responsible for the production of the Syndicate Annual Report, Syndicate Underwriting Year Accounts and all Lloyd’s Returns to a high standard, and on a timely basis.</w:t>
      </w:r>
      <w:r w:rsidRPr="00AC06F5">
        <w:rPr>
          <w:rFonts w:ascii="Arial" w:hAnsi="Arial" w:cs="Arial"/>
          <w:b/>
          <w:sz w:val="20"/>
          <w:szCs w:val="22"/>
          <w:u w:val="single"/>
        </w:rPr>
        <w:t xml:space="preserve"> </w:t>
      </w:r>
    </w:p>
    <w:p w14:paraId="5909A47E" w14:textId="77777777" w:rsidR="00F06199" w:rsidRPr="00AC06F5" w:rsidRDefault="00F06199" w:rsidP="002928C4">
      <w:pPr>
        <w:spacing w:after="0" w:line="263" w:lineRule="auto"/>
        <w:ind w:left="10" w:hanging="10"/>
        <w:rPr>
          <w:rFonts w:ascii="Roboto Slab" w:hAnsi="Roboto Slab" w:cs="Arial"/>
          <w:color w:val="000000" w:themeColor="text1"/>
          <w:sz w:val="20"/>
        </w:rPr>
      </w:pPr>
    </w:p>
    <w:p w14:paraId="61F85F58" w14:textId="77777777" w:rsidR="004741CA" w:rsidRPr="00AC06F5" w:rsidRDefault="006C6F76">
      <w:pPr>
        <w:spacing w:after="153"/>
        <w:ind w:left="-30"/>
        <w:rPr>
          <w:rFonts w:ascii="Roboto Slab" w:hAnsi="Roboto Slab" w:cs="Arial"/>
          <w:sz w:val="20"/>
        </w:rPr>
      </w:pPr>
      <w:r w:rsidRPr="00AC06F5">
        <w:rPr>
          <w:rFonts w:ascii="Roboto Slab" w:hAnsi="Roboto Slab" w:cs="Arial"/>
          <w:noProof/>
          <w:sz w:val="20"/>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5A9AD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14:paraId="106EB08D" w14:textId="77777777" w:rsidR="00F06199" w:rsidRPr="00AC06F5" w:rsidRDefault="00F06199" w:rsidP="00F06199">
      <w:pPr>
        <w:spacing w:after="54" w:line="360" w:lineRule="auto"/>
        <w:rPr>
          <w:rFonts w:ascii="Roboto Slab" w:hAnsi="Roboto Slab" w:cs="Arial"/>
          <w:sz w:val="20"/>
        </w:rPr>
      </w:pPr>
    </w:p>
    <w:p w14:paraId="0177D530" w14:textId="77777777" w:rsidR="00F06199" w:rsidRPr="00AC06F5" w:rsidRDefault="00F06199" w:rsidP="00F06199">
      <w:pPr>
        <w:spacing w:after="54" w:line="360" w:lineRule="auto"/>
        <w:rPr>
          <w:rFonts w:ascii="Roboto Slab" w:hAnsi="Roboto Slab" w:cs="Arial"/>
          <w:b/>
          <w:sz w:val="20"/>
        </w:rPr>
      </w:pPr>
      <w:r w:rsidRPr="00AC06F5">
        <w:rPr>
          <w:rFonts w:ascii="Roboto Slab" w:hAnsi="Roboto Slab" w:cs="Arial"/>
          <w:b/>
          <w:sz w:val="20"/>
        </w:rPr>
        <w:t>KEY RESPONSIBILITIES:</w:t>
      </w:r>
    </w:p>
    <w:p w14:paraId="6D3A3C3F" w14:textId="77777777" w:rsidR="009346A9" w:rsidRPr="00AC06F5" w:rsidRDefault="009346A9" w:rsidP="009346A9">
      <w:pPr>
        <w:numPr>
          <w:ilvl w:val="0"/>
          <w:numId w:val="26"/>
        </w:numPr>
        <w:spacing w:after="0" w:line="240" w:lineRule="auto"/>
        <w:jc w:val="both"/>
        <w:rPr>
          <w:rFonts w:ascii="Arial" w:hAnsi="Arial" w:cs="Arial"/>
          <w:sz w:val="20"/>
          <w:lang w:val="en-US"/>
        </w:rPr>
      </w:pPr>
      <w:r w:rsidRPr="00AC06F5">
        <w:rPr>
          <w:rFonts w:ascii="Arial" w:hAnsi="Arial" w:cs="Arial"/>
          <w:sz w:val="20"/>
          <w:lang w:val="en-US"/>
        </w:rPr>
        <w:t xml:space="preserve">To assist with preparing the Syndicate Annual Report and the Syndicate Underwriting Year Accounts, which entails: </w:t>
      </w:r>
    </w:p>
    <w:p w14:paraId="6E26245D" w14:textId="77777777" w:rsidR="009346A9" w:rsidRPr="00AC06F5" w:rsidRDefault="009346A9" w:rsidP="00AC06F5">
      <w:pPr>
        <w:numPr>
          <w:ilvl w:val="1"/>
          <w:numId w:val="31"/>
        </w:numPr>
        <w:spacing w:before="60" w:after="60" w:line="240" w:lineRule="auto"/>
        <w:jc w:val="both"/>
        <w:rPr>
          <w:rFonts w:ascii="Arial" w:hAnsi="Arial" w:cs="Arial"/>
          <w:sz w:val="20"/>
          <w:lang w:val="en-US"/>
        </w:rPr>
      </w:pPr>
      <w:r w:rsidRPr="00AC06F5">
        <w:rPr>
          <w:rFonts w:ascii="Arial" w:hAnsi="Arial" w:cs="Arial"/>
          <w:sz w:val="20"/>
          <w:lang w:val="en-US"/>
        </w:rPr>
        <w:t>Completing early drafts in good time to allow for several layers of internal/external reviews.</w:t>
      </w:r>
    </w:p>
    <w:p w14:paraId="484DE352" w14:textId="77777777" w:rsidR="009346A9" w:rsidRPr="00AC06F5" w:rsidRDefault="009346A9" w:rsidP="00AC06F5">
      <w:pPr>
        <w:numPr>
          <w:ilvl w:val="1"/>
          <w:numId w:val="31"/>
        </w:numPr>
        <w:spacing w:after="0" w:line="240" w:lineRule="auto"/>
        <w:jc w:val="both"/>
        <w:rPr>
          <w:rFonts w:ascii="Arial" w:hAnsi="Arial" w:cs="Arial"/>
          <w:sz w:val="20"/>
          <w:lang w:val="en-US"/>
        </w:rPr>
      </w:pPr>
      <w:r w:rsidRPr="00AC06F5">
        <w:rPr>
          <w:rFonts w:ascii="Arial" w:hAnsi="Arial" w:cs="Arial"/>
          <w:sz w:val="20"/>
          <w:lang w:val="en-US"/>
        </w:rPr>
        <w:t xml:space="preserve">Ensuring figures </w:t>
      </w:r>
      <w:r w:rsidR="009B4C60">
        <w:rPr>
          <w:rFonts w:ascii="Arial" w:hAnsi="Arial" w:cs="Arial"/>
          <w:sz w:val="20"/>
          <w:lang w:val="en-US"/>
        </w:rPr>
        <w:t>agree</w:t>
      </w:r>
      <w:r w:rsidRPr="00AC06F5">
        <w:rPr>
          <w:rFonts w:ascii="Arial" w:hAnsi="Arial" w:cs="Arial"/>
          <w:sz w:val="20"/>
          <w:lang w:val="en-US"/>
        </w:rPr>
        <w:t xml:space="preserve"> to the trial balance and are internally consistent between various disclosure notes</w:t>
      </w:r>
      <w:r w:rsidR="008103BB">
        <w:rPr>
          <w:rFonts w:ascii="Arial" w:hAnsi="Arial" w:cs="Arial"/>
          <w:sz w:val="20"/>
          <w:lang w:val="en-US"/>
        </w:rPr>
        <w:t>.</w:t>
      </w:r>
    </w:p>
    <w:p w14:paraId="6F168B0A" w14:textId="77777777" w:rsidR="009346A9" w:rsidRPr="00AC06F5" w:rsidRDefault="009346A9" w:rsidP="00AC06F5">
      <w:pPr>
        <w:numPr>
          <w:ilvl w:val="1"/>
          <w:numId w:val="31"/>
        </w:numPr>
        <w:spacing w:before="60" w:after="60" w:line="240" w:lineRule="auto"/>
        <w:jc w:val="both"/>
        <w:rPr>
          <w:rFonts w:ascii="Arial" w:hAnsi="Arial" w:cs="Arial"/>
          <w:sz w:val="20"/>
          <w:lang w:val="en-US"/>
        </w:rPr>
      </w:pPr>
      <w:r w:rsidRPr="00AC06F5">
        <w:rPr>
          <w:rFonts w:ascii="Arial" w:hAnsi="Arial" w:cs="Arial"/>
          <w:sz w:val="20"/>
          <w:lang w:val="en-US"/>
        </w:rPr>
        <w:t>Incorporating all changes required by FRS 102/103, Lloyd’s Byelaws, the Insurance Accounts Directive (Lloyd’s) Regulations 2008, aided by guidance from the external auditors.</w:t>
      </w:r>
    </w:p>
    <w:p w14:paraId="4EE0FF0F" w14:textId="77777777" w:rsidR="009346A9" w:rsidRPr="00AC06F5" w:rsidRDefault="009346A9" w:rsidP="00AC06F5">
      <w:pPr>
        <w:numPr>
          <w:ilvl w:val="1"/>
          <w:numId w:val="31"/>
        </w:numPr>
        <w:spacing w:before="60" w:after="60" w:line="240" w:lineRule="auto"/>
        <w:jc w:val="both"/>
        <w:rPr>
          <w:rFonts w:ascii="Arial" w:hAnsi="Arial" w:cs="Arial"/>
          <w:sz w:val="20"/>
          <w:lang w:val="en-US"/>
        </w:rPr>
      </w:pPr>
      <w:r w:rsidRPr="00AC06F5">
        <w:rPr>
          <w:rFonts w:ascii="Arial" w:hAnsi="Arial" w:cs="Arial"/>
          <w:sz w:val="20"/>
          <w:lang w:val="en-US"/>
        </w:rPr>
        <w:t>Coordinating with the active underwriter, risk officer, other executive officers and the external PR agency to update commentaries.</w:t>
      </w:r>
    </w:p>
    <w:p w14:paraId="28A5C92D" w14:textId="77777777" w:rsidR="009346A9" w:rsidRPr="00AC06F5" w:rsidRDefault="009346A9" w:rsidP="00AC06F5">
      <w:pPr>
        <w:numPr>
          <w:ilvl w:val="1"/>
          <w:numId w:val="31"/>
        </w:numPr>
        <w:spacing w:after="0" w:line="240" w:lineRule="auto"/>
        <w:jc w:val="both"/>
        <w:rPr>
          <w:rFonts w:ascii="Arial" w:hAnsi="Arial" w:cs="Arial"/>
          <w:sz w:val="20"/>
          <w:lang w:val="en-US"/>
        </w:rPr>
      </w:pPr>
      <w:r w:rsidRPr="00AC06F5">
        <w:rPr>
          <w:rFonts w:ascii="Arial" w:hAnsi="Arial" w:cs="Arial"/>
          <w:sz w:val="20"/>
          <w:lang w:val="en-US"/>
        </w:rPr>
        <w:t>Coordinating with the internal actuaries and external investment managers to compile risk disclosures</w:t>
      </w:r>
      <w:r w:rsidR="004D11D0">
        <w:rPr>
          <w:rFonts w:ascii="Arial" w:hAnsi="Arial" w:cs="Arial"/>
          <w:sz w:val="20"/>
          <w:lang w:val="en-US"/>
        </w:rPr>
        <w:t>.</w:t>
      </w:r>
    </w:p>
    <w:p w14:paraId="7B239E4F" w14:textId="77777777" w:rsidR="009346A9" w:rsidRDefault="009346A9" w:rsidP="00AC06F5">
      <w:pPr>
        <w:numPr>
          <w:ilvl w:val="1"/>
          <w:numId w:val="31"/>
        </w:numPr>
        <w:spacing w:before="60" w:after="60" w:line="240" w:lineRule="auto"/>
        <w:jc w:val="both"/>
        <w:rPr>
          <w:rFonts w:ascii="Arial" w:hAnsi="Arial" w:cs="Arial"/>
          <w:sz w:val="20"/>
          <w:lang w:val="en-US"/>
        </w:rPr>
      </w:pPr>
      <w:r w:rsidRPr="00AC06F5">
        <w:rPr>
          <w:rFonts w:ascii="Arial" w:hAnsi="Arial" w:cs="Arial"/>
          <w:sz w:val="20"/>
          <w:lang w:val="en-US"/>
        </w:rPr>
        <w:t>Writing up accounting position papers as required to support a valuation or disclosure in the financials, by working in conjunction with other Finance team members.</w:t>
      </w:r>
    </w:p>
    <w:p w14:paraId="207D2A2C" w14:textId="77777777" w:rsidR="00B529FE" w:rsidRPr="00AC06F5" w:rsidRDefault="00B529FE" w:rsidP="00AC06F5">
      <w:pPr>
        <w:numPr>
          <w:ilvl w:val="1"/>
          <w:numId w:val="31"/>
        </w:numPr>
        <w:spacing w:before="60" w:after="60" w:line="240" w:lineRule="auto"/>
        <w:jc w:val="both"/>
        <w:rPr>
          <w:rFonts w:ascii="Arial" w:hAnsi="Arial" w:cs="Arial"/>
          <w:sz w:val="20"/>
          <w:lang w:val="en-US"/>
        </w:rPr>
      </w:pPr>
      <w:r>
        <w:rPr>
          <w:rFonts w:ascii="Arial" w:hAnsi="Arial" w:cs="Arial"/>
          <w:sz w:val="20"/>
          <w:lang w:val="en-US"/>
        </w:rPr>
        <w:t>To liaise with external auditors, providing appropriate information on disclosure notes as required.</w:t>
      </w:r>
    </w:p>
    <w:p w14:paraId="7CC79BFE" w14:textId="77777777" w:rsidR="009346A9" w:rsidRPr="00AC06F5" w:rsidRDefault="009346A9" w:rsidP="009346A9">
      <w:pPr>
        <w:pStyle w:val="ListParagraph"/>
        <w:numPr>
          <w:ilvl w:val="0"/>
          <w:numId w:val="26"/>
        </w:numPr>
        <w:spacing w:before="60" w:after="60" w:line="240" w:lineRule="auto"/>
        <w:jc w:val="both"/>
        <w:rPr>
          <w:rFonts w:ascii="Arial" w:hAnsi="Arial" w:cs="Arial"/>
          <w:sz w:val="20"/>
          <w:lang w:val="en-US"/>
        </w:rPr>
      </w:pPr>
      <w:r w:rsidRPr="00AC06F5">
        <w:rPr>
          <w:rFonts w:ascii="Arial" w:hAnsi="Arial" w:cs="Arial"/>
          <w:sz w:val="20"/>
          <w:lang w:val="en-US"/>
        </w:rPr>
        <w:t xml:space="preserve">To assist with preparing all Regulatory Returns (Lloyd’s and others), which entails: </w:t>
      </w:r>
    </w:p>
    <w:p w14:paraId="10B86074" w14:textId="77777777" w:rsidR="009346A9" w:rsidRPr="00AC06F5" w:rsidRDefault="009346A9" w:rsidP="00AC06F5">
      <w:pPr>
        <w:pStyle w:val="ListParagraph"/>
        <w:numPr>
          <w:ilvl w:val="1"/>
          <w:numId w:val="33"/>
        </w:numPr>
        <w:spacing w:before="60" w:after="60" w:line="240" w:lineRule="auto"/>
        <w:jc w:val="both"/>
        <w:rPr>
          <w:rFonts w:ascii="Arial" w:hAnsi="Arial" w:cs="Arial"/>
          <w:sz w:val="20"/>
          <w:lang w:val="en-US"/>
        </w:rPr>
      </w:pPr>
      <w:r w:rsidRPr="00AC06F5">
        <w:rPr>
          <w:rFonts w:ascii="Arial" w:hAnsi="Arial" w:cs="Arial"/>
          <w:sz w:val="20"/>
          <w:lang w:val="en-US"/>
        </w:rPr>
        <w:t>Completing early drafts in good time to allow for several layers of internal/external reviews</w:t>
      </w:r>
      <w:r w:rsidR="004D11D0">
        <w:rPr>
          <w:rFonts w:ascii="Arial" w:hAnsi="Arial" w:cs="Arial"/>
          <w:sz w:val="20"/>
          <w:lang w:val="en-US"/>
        </w:rPr>
        <w:t>.</w:t>
      </w:r>
    </w:p>
    <w:p w14:paraId="0C58FB50" w14:textId="77777777" w:rsidR="009346A9" w:rsidRPr="00AC06F5" w:rsidRDefault="009346A9" w:rsidP="00AC06F5">
      <w:pPr>
        <w:pStyle w:val="ListParagraph"/>
        <w:numPr>
          <w:ilvl w:val="1"/>
          <w:numId w:val="33"/>
        </w:numPr>
        <w:spacing w:before="60" w:after="60" w:line="240" w:lineRule="auto"/>
        <w:jc w:val="both"/>
        <w:rPr>
          <w:rFonts w:ascii="Arial" w:hAnsi="Arial" w:cs="Arial"/>
          <w:sz w:val="20"/>
          <w:lang w:val="en-US"/>
        </w:rPr>
      </w:pPr>
      <w:r w:rsidRPr="00AC06F5">
        <w:rPr>
          <w:rFonts w:ascii="Arial" w:hAnsi="Arial" w:cs="Arial"/>
          <w:sz w:val="20"/>
          <w:lang w:val="en-US"/>
        </w:rPr>
        <w:t xml:space="preserve">Ensuring figures </w:t>
      </w:r>
      <w:r w:rsidR="002D3761">
        <w:rPr>
          <w:rFonts w:ascii="Arial" w:hAnsi="Arial" w:cs="Arial"/>
          <w:sz w:val="20"/>
          <w:lang w:val="en-US"/>
        </w:rPr>
        <w:t>agree</w:t>
      </w:r>
      <w:r w:rsidRPr="00AC06F5">
        <w:rPr>
          <w:rFonts w:ascii="Arial" w:hAnsi="Arial" w:cs="Arial"/>
          <w:sz w:val="20"/>
          <w:lang w:val="en-US"/>
        </w:rPr>
        <w:t xml:space="preserve"> to the trial balance and are internally consistent between various disclosure notes</w:t>
      </w:r>
      <w:r w:rsidR="004D11D0">
        <w:rPr>
          <w:rFonts w:ascii="Arial" w:hAnsi="Arial" w:cs="Arial"/>
          <w:sz w:val="20"/>
          <w:lang w:val="en-US"/>
        </w:rPr>
        <w:t>.</w:t>
      </w:r>
    </w:p>
    <w:p w14:paraId="4CADF63E" w14:textId="77777777" w:rsidR="009346A9" w:rsidRPr="00AC06F5" w:rsidRDefault="009346A9" w:rsidP="00AC06F5">
      <w:pPr>
        <w:pStyle w:val="ListParagraph"/>
        <w:numPr>
          <w:ilvl w:val="1"/>
          <w:numId w:val="33"/>
        </w:numPr>
        <w:spacing w:before="60" w:after="60" w:line="240" w:lineRule="auto"/>
        <w:jc w:val="both"/>
        <w:rPr>
          <w:rFonts w:ascii="Arial" w:hAnsi="Arial" w:cs="Arial"/>
          <w:sz w:val="20"/>
          <w:lang w:val="en-US"/>
        </w:rPr>
      </w:pPr>
      <w:r w:rsidRPr="00AC06F5">
        <w:rPr>
          <w:rFonts w:ascii="Arial" w:hAnsi="Arial" w:cs="Arial"/>
          <w:sz w:val="20"/>
          <w:lang w:val="en-US"/>
        </w:rPr>
        <w:t>Ensuring the returns are prepared in accordance with various Lloyd’s Byelaws</w:t>
      </w:r>
      <w:r w:rsidR="004D11D0">
        <w:rPr>
          <w:rFonts w:ascii="Arial" w:hAnsi="Arial" w:cs="Arial"/>
          <w:sz w:val="20"/>
          <w:lang w:val="en-US"/>
        </w:rPr>
        <w:t>.</w:t>
      </w:r>
    </w:p>
    <w:p w14:paraId="48CC7B9E" w14:textId="77777777" w:rsidR="009346A9" w:rsidRPr="00AC06F5" w:rsidRDefault="009346A9" w:rsidP="00AC06F5">
      <w:pPr>
        <w:numPr>
          <w:ilvl w:val="1"/>
          <w:numId w:val="33"/>
        </w:numPr>
        <w:spacing w:before="60" w:after="60" w:line="240" w:lineRule="auto"/>
        <w:jc w:val="both"/>
        <w:rPr>
          <w:rFonts w:ascii="Arial" w:hAnsi="Arial" w:cs="Arial"/>
          <w:sz w:val="20"/>
          <w:lang w:val="en-US"/>
        </w:rPr>
      </w:pPr>
      <w:r w:rsidRPr="00AC06F5">
        <w:rPr>
          <w:rFonts w:ascii="Arial" w:hAnsi="Arial" w:cs="Arial"/>
          <w:sz w:val="20"/>
          <w:lang w:val="en-US"/>
        </w:rPr>
        <w:t>Monitoring all Lloyd’s bulletins and Q&amp;As to identify changes required, ensuring these are incorporated in the Lloyd’s Returns.</w:t>
      </w:r>
    </w:p>
    <w:p w14:paraId="67AF4718" w14:textId="77777777" w:rsidR="009346A9" w:rsidRPr="00AC06F5" w:rsidRDefault="009346A9" w:rsidP="00AC06F5">
      <w:pPr>
        <w:numPr>
          <w:ilvl w:val="1"/>
          <w:numId w:val="33"/>
        </w:numPr>
        <w:spacing w:before="60" w:after="60" w:line="240" w:lineRule="auto"/>
        <w:jc w:val="both"/>
        <w:rPr>
          <w:rFonts w:ascii="Arial" w:hAnsi="Arial" w:cs="Arial"/>
          <w:sz w:val="20"/>
          <w:lang w:val="en-US"/>
        </w:rPr>
      </w:pPr>
      <w:r w:rsidRPr="00AC06F5">
        <w:rPr>
          <w:rFonts w:ascii="Arial" w:hAnsi="Arial" w:cs="Arial"/>
          <w:sz w:val="20"/>
          <w:lang w:val="en-US"/>
        </w:rPr>
        <w:t xml:space="preserve">Critically </w:t>
      </w:r>
      <w:proofErr w:type="spellStart"/>
      <w:r w:rsidRPr="00AC06F5">
        <w:rPr>
          <w:rFonts w:ascii="Arial" w:hAnsi="Arial" w:cs="Arial"/>
          <w:sz w:val="20"/>
          <w:lang w:val="en-US"/>
        </w:rPr>
        <w:t>analysing</w:t>
      </w:r>
      <w:proofErr w:type="spellEnd"/>
      <w:r w:rsidRPr="00AC06F5">
        <w:rPr>
          <w:rFonts w:ascii="Arial" w:hAnsi="Arial" w:cs="Arial"/>
          <w:sz w:val="20"/>
          <w:lang w:val="en-US"/>
        </w:rPr>
        <w:t xml:space="preserve"> the data in all Lloyd’s Returns prior to submission - by raising queries and incorporating appropriate responses within the accompanying commentary – so as to pre-empt questions from Lloyd’s and members’ agents.</w:t>
      </w:r>
    </w:p>
    <w:p w14:paraId="4A4756BC" w14:textId="77777777" w:rsidR="009346A9" w:rsidRPr="00AC06F5" w:rsidRDefault="009346A9" w:rsidP="00AC06F5">
      <w:pPr>
        <w:numPr>
          <w:ilvl w:val="1"/>
          <w:numId w:val="33"/>
        </w:numPr>
        <w:spacing w:before="60" w:after="60" w:line="240" w:lineRule="auto"/>
        <w:jc w:val="both"/>
        <w:rPr>
          <w:rFonts w:ascii="Arial" w:hAnsi="Arial" w:cs="Arial"/>
          <w:sz w:val="20"/>
        </w:rPr>
      </w:pPr>
      <w:r w:rsidRPr="00AC06F5">
        <w:rPr>
          <w:rFonts w:ascii="Arial" w:hAnsi="Arial" w:cs="Arial"/>
          <w:sz w:val="20"/>
          <w:lang w:val="en-US"/>
        </w:rPr>
        <w:t>Preparing draft responses to queries raised by regulators (Lloyd’s, PRA, FCA and others), members’ agents, investors and outward reinsurers on data contained within the various regulatory returns.</w:t>
      </w:r>
    </w:p>
    <w:p w14:paraId="2DD73D2B" w14:textId="77777777" w:rsidR="009346A9" w:rsidRPr="00AC06F5" w:rsidRDefault="009346A9" w:rsidP="009346A9">
      <w:pPr>
        <w:pStyle w:val="ListParagraph"/>
        <w:numPr>
          <w:ilvl w:val="0"/>
          <w:numId w:val="26"/>
        </w:numPr>
        <w:spacing w:before="60" w:after="60" w:line="240" w:lineRule="auto"/>
        <w:jc w:val="both"/>
        <w:rPr>
          <w:rFonts w:ascii="Arial" w:hAnsi="Arial" w:cs="Arial"/>
          <w:sz w:val="20"/>
        </w:rPr>
      </w:pPr>
      <w:r w:rsidRPr="00AC06F5">
        <w:rPr>
          <w:rFonts w:ascii="Arial" w:hAnsi="Arial" w:cs="Arial"/>
          <w:sz w:val="20"/>
        </w:rPr>
        <w:t>To assist with treasury related tasks, which entails:</w:t>
      </w:r>
    </w:p>
    <w:p w14:paraId="3552706A" w14:textId="77777777" w:rsidR="009346A9" w:rsidRPr="00AC06F5" w:rsidRDefault="009346A9" w:rsidP="00AC06F5">
      <w:pPr>
        <w:numPr>
          <w:ilvl w:val="1"/>
          <w:numId w:val="32"/>
        </w:numPr>
        <w:spacing w:before="60" w:after="60" w:line="240" w:lineRule="auto"/>
        <w:jc w:val="both"/>
        <w:rPr>
          <w:rFonts w:ascii="Arial" w:hAnsi="Arial" w:cs="Arial"/>
          <w:sz w:val="20"/>
          <w:lang w:val="en-US"/>
        </w:rPr>
      </w:pPr>
      <w:r w:rsidRPr="00AC06F5">
        <w:rPr>
          <w:rFonts w:ascii="Arial" w:hAnsi="Arial" w:cs="Arial"/>
          <w:sz w:val="20"/>
          <w:lang w:val="en-US"/>
        </w:rPr>
        <w:t>Monitoring the liquidity position of the Syndicate and improve the short-term cash flow forecasting.</w:t>
      </w:r>
    </w:p>
    <w:p w14:paraId="36AF6B86" w14:textId="77777777" w:rsidR="009346A9" w:rsidRPr="00AC06F5" w:rsidRDefault="009346A9" w:rsidP="00AC06F5">
      <w:pPr>
        <w:pStyle w:val="ListParagraph"/>
        <w:numPr>
          <w:ilvl w:val="1"/>
          <w:numId w:val="32"/>
        </w:numPr>
        <w:spacing w:before="60" w:after="60" w:line="240" w:lineRule="auto"/>
        <w:jc w:val="both"/>
        <w:rPr>
          <w:rFonts w:ascii="Arial" w:hAnsi="Arial" w:cs="Arial"/>
          <w:sz w:val="20"/>
        </w:rPr>
      </w:pPr>
      <w:r w:rsidRPr="00AC06F5">
        <w:rPr>
          <w:rFonts w:ascii="Arial" w:hAnsi="Arial" w:cs="Arial"/>
          <w:sz w:val="20"/>
          <w:lang w:val="en-US"/>
        </w:rPr>
        <w:t>Maintenance of all Syndicate and Group bank accounts and mandates</w:t>
      </w:r>
      <w:r w:rsidR="004D11D0">
        <w:rPr>
          <w:rFonts w:ascii="Arial" w:hAnsi="Arial" w:cs="Arial"/>
          <w:sz w:val="20"/>
          <w:lang w:val="en-US"/>
        </w:rPr>
        <w:t>.</w:t>
      </w:r>
    </w:p>
    <w:p w14:paraId="02BCC56E" w14:textId="77777777" w:rsidR="004D11D0" w:rsidRPr="004D11D0" w:rsidRDefault="009346A9" w:rsidP="004D11D0">
      <w:pPr>
        <w:pStyle w:val="ListParagraph"/>
        <w:numPr>
          <w:ilvl w:val="1"/>
          <w:numId w:val="26"/>
        </w:numPr>
        <w:shd w:val="clear" w:color="auto" w:fill="FFFFFF"/>
        <w:spacing w:before="100" w:beforeAutospacing="1" w:after="100" w:afterAutospacing="1" w:line="240" w:lineRule="auto"/>
        <w:jc w:val="both"/>
        <w:rPr>
          <w:rFonts w:ascii="Arial" w:hAnsi="Arial" w:cs="Arial"/>
          <w:sz w:val="20"/>
        </w:rPr>
      </w:pPr>
      <w:r w:rsidRPr="004D11D0">
        <w:rPr>
          <w:rFonts w:ascii="Arial" w:hAnsi="Arial" w:cs="Arial"/>
          <w:sz w:val="20"/>
          <w:lang w:val="en-US"/>
        </w:rPr>
        <w:t xml:space="preserve">Preparation of </w:t>
      </w:r>
      <w:r w:rsidR="004D11D0" w:rsidRPr="004D11D0">
        <w:rPr>
          <w:rFonts w:ascii="Arial" w:hAnsi="Arial" w:cs="Arial"/>
          <w:sz w:val="20"/>
          <w:lang w:val="en-US"/>
        </w:rPr>
        <w:t>I</w:t>
      </w:r>
      <w:r w:rsidRPr="004D11D0">
        <w:rPr>
          <w:rFonts w:ascii="Arial" w:hAnsi="Arial" w:cs="Arial"/>
          <w:sz w:val="20"/>
          <w:lang w:val="en-US"/>
        </w:rPr>
        <w:t>nvestment Committee Papers</w:t>
      </w:r>
    </w:p>
    <w:p w14:paraId="1EEEC6F5" w14:textId="77777777" w:rsidR="00AC06F5" w:rsidRPr="004D11D0" w:rsidRDefault="00AC06F5" w:rsidP="006A6CED">
      <w:pPr>
        <w:pStyle w:val="ListParagraph"/>
        <w:numPr>
          <w:ilvl w:val="0"/>
          <w:numId w:val="26"/>
        </w:numPr>
        <w:shd w:val="clear" w:color="auto" w:fill="FFFFFF"/>
        <w:spacing w:before="100" w:beforeAutospacing="1" w:after="100" w:afterAutospacing="1" w:line="240" w:lineRule="auto"/>
        <w:jc w:val="both"/>
        <w:rPr>
          <w:rFonts w:ascii="Arial" w:hAnsi="Arial" w:cs="Arial"/>
          <w:sz w:val="20"/>
        </w:rPr>
      </w:pPr>
      <w:r w:rsidRPr="004D11D0">
        <w:rPr>
          <w:rFonts w:ascii="Arial" w:hAnsi="Arial" w:cs="Arial"/>
          <w:sz w:val="20"/>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r w:rsidR="004D11D0" w:rsidRPr="004D11D0">
        <w:rPr>
          <w:rFonts w:ascii="Arial" w:hAnsi="Arial" w:cs="Arial"/>
          <w:sz w:val="20"/>
        </w:rPr>
        <w:t>.</w:t>
      </w:r>
    </w:p>
    <w:p w14:paraId="49536F1C" w14:textId="77777777" w:rsidR="00AC06F5" w:rsidRPr="00AC06F5" w:rsidRDefault="00AC06F5" w:rsidP="00AC06F5">
      <w:pPr>
        <w:numPr>
          <w:ilvl w:val="0"/>
          <w:numId w:val="26"/>
        </w:numPr>
        <w:shd w:val="clear" w:color="auto" w:fill="FFFFFF"/>
        <w:spacing w:before="100" w:beforeAutospacing="1" w:after="100" w:afterAutospacing="1" w:line="240" w:lineRule="auto"/>
        <w:rPr>
          <w:rFonts w:ascii="Arial" w:hAnsi="Arial" w:cs="Arial"/>
          <w:sz w:val="20"/>
        </w:rPr>
      </w:pPr>
      <w:r w:rsidRPr="00AC06F5">
        <w:rPr>
          <w:rFonts w:ascii="Arial" w:hAnsi="Arial" w:cs="Arial"/>
          <w:sz w:val="20"/>
        </w:rPr>
        <w:t>Carry out other reasonable tasks as required by line management</w:t>
      </w:r>
    </w:p>
    <w:p w14:paraId="20DA684E" w14:textId="77777777" w:rsidR="00AC06F5" w:rsidRPr="00AC06F5" w:rsidRDefault="00AC06F5" w:rsidP="00AC06F5">
      <w:pPr>
        <w:shd w:val="clear" w:color="auto" w:fill="FFFFFF"/>
        <w:spacing w:after="0" w:line="240" w:lineRule="auto"/>
        <w:rPr>
          <w:rFonts w:ascii="Roboto Slab" w:hAnsi="Roboto Slab" w:cs="Arial"/>
          <w:i/>
          <w:sz w:val="20"/>
        </w:rPr>
      </w:pPr>
      <w:r w:rsidRPr="00AC06F5">
        <w:rPr>
          <w:rFonts w:ascii="Roboto Slab" w:hAnsi="Roboto Slab" w:cs="Arial"/>
          <w:i/>
          <w:sz w:val="20"/>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14:paraId="75E037B9" w14:textId="77777777" w:rsidR="00F06199" w:rsidRPr="00AC06F5" w:rsidRDefault="00F06199" w:rsidP="00CB16F5">
      <w:pPr>
        <w:shd w:val="clear" w:color="auto" w:fill="FFFFFF"/>
        <w:spacing w:before="100" w:beforeAutospacing="1" w:after="100" w:afterAutospacing="1" w:line="240" w:lineRule="auto"/>
        <w:ind w:left="720"/>
        <w:rPr>
          <w:rFonts w:ascii="Roboto Slab" w:hAnsi="Roboto Slab" w:cs="Arial"/>
          <w:sz w:val="20"/>
        </w:rPr>
      </w:pPr>
      <w:r w:rsidRPr="00AC06F5">
        <w:rPr>
          <w:rFonts w:ascii="Roboto Slab" w:hAnsi="Roboto Slab" w:cs="Arial"/>
          <w:noProof/>
          <w:sz w:val="20"/>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365807"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" path="m,l6455664,r,9144l,9144,,e" fillcolor="black" stroked="f" strokeweight="0">
                  <v:stroke miterlimit="1" joinstyle="miter"/>
                  <v:path arrowok="t" textboxrect="0,0,6455664,9144"/>
                </v:shape>
                <w10:anchorlock/>
              </v:group>
            </w:pict>
          </mc:Fallback>
        </mc:AlternateContent>
      </w:r>
    </w:p>
    <w:p w14:paraId="35C6A7AC" w14:textId="77777777" w:rsidR="009346A9" w:rsidRPr="00AC06F5" w:rsidRDefault="00F06199" w:rsidP="00F06199">
      <w:pPr>
        <w:spacing w:after="4" w:line="360" w:lineRule="auto"/>
        <w:rPr>
          <w:rFonts w:ascii="Roboto Slab" w:hAnsi="Roboto Slab" w:cs="Arial"/>
          <w:b/>
          <w:sz w:val="20"/>
        </w:rPr>
      </w:pPr>
      <w:r w:rsidRPr="00AC06F5">
        <w:rPr>
          <w:rFonts w:ascii="Roboto Slab" w:hAnsi="Roboto Slab" w:cs="Arial"/>
          <w:b/>
          <w:sz w:val="20"/>
        </w:rPr>
        <w:t>K</w:t>
      </w:r>
      <w:r w:rsidR="00C43846" w:rsidRPr="00AC06F5">
        <w:rPr>
          <w:rFonts w:ascii="Roboto Slab" w:hAnsi="Roboto Slab" w:cs="Arial"/>
          <w:b/>
          <w:sz w:val="20"/>
        </w:rPr>
        <w:t>EY DESIRABLE ATTRIBUTES</w:t>
      </w:r>
      <w:r w:rsidR="002424BC" w:rsidRPr="00AC06F5">
        <w:rPr>
          <w:rFonts w:ascii="Roboto Slab" w:hAnsi="Roboto Slab" w:cs="Arial"/>
          <w:b/>
          <w:sz w:val="20"/>
        </w:rPr>
        <w:t>:</w:t>
      </w:r>
    </w:p>
    <w:p w14:paraId="211B47E1" w14:textId="77777777" w:rsidR="009346A9" w:rsidRPr="00AC06F5" w:rsidRDefault="009346A9" w:rsidP="009346A9">
      <w:pPr>
        <w:pStyle w:val="BodyText"/>
        <w:numPr>
          <w:ilvl w:val="0"/>
          <w:numId w:val="25"/>
        </w:num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0"/>
          <w:szCs w:val="22"/>
        </w:rPr>
      </w:pPr>
      <w:r w:rsidRPr="00AC06F5">
        <w:rPr>
          <w:rFonts w:ascii="Arial" w:hAnsi="Arial" w:cs="Arial"/>
          <w:color w:val="auto"/>
          <w:sz w:val="20"/>
          <w:szCs w:val="22"/>
        </w:rPr>
        <w:t>Strong grasp of any major GAAP – International / UK / US.</w:t>
      </w:r>
    </w:p>
    <w:p w14:paraId="2EA146C6" w14:textId="77777777" w:rsidR="009346A9" w:rsidRPr="00AC06F5" w:rsidRDefault="009346A9" w:rsidP="009346A9">
      <w:pPr>
        <w:pStyle w:val="BodyText"/>
        <w:numPr>
          <w:ilvl w:val="0"/>
          <w:numId w:val="25"/>
        </w:num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0"/>
          <w:szCs w:val="22"/>
        </w:rPr>
      </w:pPr>
      <w:r w:rsidRPr="00AC06F5">
        <w:rPr>
          <w:rFonts w:ascii="Arial" w:hAnsi="Arial" w:cs="Arial"/>
          <w:color w:val="auto"/>
          <w:sz w:val="20"/>
          <w:szCs w:val="22"/>
        </w:rPr>
        <w:t>Strong understanding of insurance accounting.  Lloyd’s reporting requirements (an advantage).</w:t>
      </w:r>
    </w:p>
    <w:p w14:paraId="7C24F111" w14:textId="77777777" w:rsidR="009346A9" w:rsidRPr="00AC06F5" w:rsidRDefault="009346A9" w:rsidP="009346A9">
      <w:pPr>
        <w:numPr>
          <w:ilvl w:val="0"/>
          <w:numId w:val="25"/>
        </w:numPr>
        <w:spacing w:after="0" w:line="240" w:lineRule="auto"/>
        <w:jc w:val="both"/>
        <w:rPr>
          <w:rFonts w:ascii="Arial" w:hAnsi="Arial" w:cs="Arial"/>
          <w:sz w:val="20"/>
          <w:lang w:val="en-US"/>
        </w:rPr>
      </w:pPr>
      <w:r w:rsidRPr="00AC06F5">
        <w:rPr>
          <w:rFonts w:ascii="Arial" w:hAnsi="Arial" w:cs="Arial"/>
          <w:sz w:val="20"/>
          <w:lang w:val="en-US"/>
        </w:rPr>
        <w:t xml:space="preserve">Microsoft office applications – in particular advanced Excel, Word and </w:t>
      </w:r>
      <w:proofErr w:type="spellStart"/>
      <w:r w:rsidRPr="00AC06F5">
        <w:rPr>
          <w:rFonts w:ascii="Arial" w:hAnsi="Arial" w:cs="Arial"/>
          <w:sz w:val="20"/>
          <w:lang w:val="en-US"/>
        </w:rPr>
        <w:t>Powerpoint</w:t>
      </w:r>
      <w:proofErr w:type="spellEnd"/>
      <w:r w:rsidRPr="00AC06F5">
        <w:rPr>
          <w:rFonts w:ascii="Arial" w:hAnsi="Arial" w:cs="Arial"/>
          <w:sz w:val="20"/>
          <w:lang w:val="en-US"/>
        </w:rPr>
        <w:t>.</w:t>
      </w:r>
    </w:p>
    <w:p w14:paraId="304122E5" w14:textId="77777777" w:rsidR="009346A9" w:rsidRPr="00AC06F5" w:rsidRDefault="009346A9" w:rsidP="009346A9">
      <w:pPr>
        <w:numPr>
          <w:ilvl w:val="0"/>
          <w:numId w:val="25"/>
        </w:numPr>
        <w:spacing w:after="0" w:line="240" w:lineRule="auto"/>
        <w:jc w:val="both"/>
        <w:rPr>
          <w:rFonts w:ascii="Arial" w:hAnsi="Arial" w:cs="Arial"/>
          <w:sz w:val="20"/>
          <w:lang w:val="en-US"/>
        </w:rPr>
      </w:pPr>
      <w:r w:rsidRPr="00AC06F5">
        <w:rPr>
          <w:rFonts w:ascii="Arial" w:hAnsi="Arial" w:cs="Arial"/>
          <w:sz w:val="20"/>
          <w:lang w:val="en-US"/>
        </w:rPr>
        <w:t xml:space="preserve">Cognos TM1 reporting tool. </w:t>
      </w:r>
    </w:p>
    <w:p w14:paraId="4DE47FA3" w14:textId="77777777" w:rsidR="00F06199" w:rsidRPr="00AC06F5" w:rsidRDefault="00F06199" w:rsidP="00CB16F5">
      <w:pPr>
        <w:pStyle w:val="ListParagraph"/>
        <w:spacing w:after="153"/>
        <w:rPr>
          <w:rFonts w:ascii="Roboto Slab" w:hAnsi="Roboto Slab" w:cs="Arial"/>
          <w:sz w:val="20"/>
        </w:rPr>
      </w:pPr>
      <w:r w:rsidRPr="00AC06F5">
        <w:rPr>
          <w:rFonts w:ascii="Roboto Slab" w:hAnsi="Roboto Slab"/>
          <w:noProof/>
          <w:sz w:val="20"/>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D5745C"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" path="m,l6455664,r,9144l,9144,,e" fillcolor="black" stroked="f" strokeweight="0">
                  <v:stroke miterlimit="1" joinstyle="miter"/>
                  <v:path arrowok="t" textboxrect="0,0,6455664,9144"/>
                </v:shape>
                <w10:anchorlock/>
              </v:group>
            </w:pict>
          </mc:Fallback>
        </mc:AlternateContent>
      </w:r>
    </w:p>
    <w:p w14:paraId="52015EE4" w14:textId="77777777" w:rsidR="00893160" w:rsidRPr="00AC06F5" w:rsidRDefault="00893160" w:rsidP="00F06199">
      <w:pPr>
        <w:pStyle w:val="ListParagraph"/>
        <w:spacing w:after="18" w:line="360" w:lineRule="auto"/>
        <w:ind w:left="705"/>
        <w:rPr>
          <w:rFonts w:ascii="Roboto Slab" w:hAnsi="Roboto Slab" w:cs="Arial"/>
          <w:sz w:val="20"/>
        </w:rPr>
      </w:pPr>
    </w:p>
    <w:p w14:paraId="19A22008" w14:textId="77777777" w:rsidR="004741CA" w:rsidRPr="00AC06F5" w:rsidRDefault="006C6F76" w:rsidP="00F06199">
      <w:pPr>
        <w:spacing w:after="38" w:line="360" w:lineRule="auto"/>
        <w:rPr>
          <w:rFonts w:ascii="Roboto Slab" w:eastAsia="Times New Roman" w:hAnsi="Roboto Slab" w:cs="Arial"/>
          <w:b/>
          <w:sz w:val="20"/>
        </w:rPr>
      </w:pPr>
      <w:r w:rsidRPr="00AC06F5">
        <w:rPr>
          <w:rFonts w:ascii="Roboto Slab" w:eastAsia="Times New Roman" w:hAnsi="Roboto Slab" w:cs="Arial"/>
          <w:b/>
          <w:sz w:val="20"/>
        </w:rPr>
        <w:t xml:space="preserve">KEY </w:t>
      </w:r>
      <w:r w:rsidR="002424BC" w:rsidRPr="00AC06F5">
        <w:rPr>
          <w:rFonts w:ascii="Roboto Slab" w:eastAsia="Times New Roman" w:hAnsi="Roboto Slab" w:cs="Arial"/>
          <w:b/>
          <w:sz w:val="20"/>
        </w:rPr>
        <w:t xml:space="preserve">PERSONAL </w:t>
      </w:r>
      <w:r w:rsidRPr="00AC06F5">
        <w:rPr>
          <w:rFonts w:ascii="Roboto Slab" w:eastAsia="Times New Roman" w:hAnsi="Roboto Slab" w:cs="Arial"/>
          <w:b/>
          <w:sz w:val="20"/>
        </w:rPr>
        <w:t xml:space="preserve">DESIRABLES: </w:t>
      </w:r>
    </w:p>
    <w:p w14:paraId="7BB38627" w14:textId="77777777" w:rsidR="009346A9" w:rsidRPr="00AC06F5" w:rsidRDefault="009346A9" w:rsidP="009346A9">
      <w:pPr>
        <w:pStyle w:val="ListParagraph"/>
        <w:numPr>
          <w:ilvl w:val="0"/>
          <w:numId w:val="30"/>
        </w:numPr>
        <w:tabs>
          <w:tab w:val="left" w:pos="1839"/>
        </w:tabs>
        <w:spacing w:after="0" w:line="240" w:lineRule="auto"/>
        <w:jc w:val="both"/>
        <w:rPr>
          <w:rFonts w:ascii="Arial" w:hAnsi="Arial" w:cs="Arial"/>
          <w:sz w:val="20"/>
        </w:rPr>
      </w:pPr>
      <w:r w:rsidRPr="00AC06F5">
        <w:rPr>
          <w:rFonts w:ascii="Arial" w:hAnsi="Arial" w:cs="Arial"/>
          <w:sz w:val="20"/>
          <w:lang w:val="en"/>
        </w:rPr>
        <w:t>Qualified ACA/ACCA (or equivalent) accountant with excellent academic credentials.</w:t>
      </w:r>
    </w:p>
    <w:p w14:paraId="312E8FAA" w14:textId="77777777" w:rsidR="009346A9" w:rsidRPr="00AC06F5" w:rsidRDefault="009346A9" w:rsidP="009346A9">
      <w:pPr>
        <w:pStyle w:val="ListParagraph"/>
        <w:numPr>
          <w:ilvl w:val="0"/>
          <w:numId w:val="30"/>
        </w:numPr>
        <w:tabs>
          <w:tab w:val="left" w:pos="1839"/>
        </w:tabs>
        <w:spacing w:after="0" w:line="240" w:lineRule="auto"/>
        <w:jc w:val="both"/>
        <w:rPr>
          <w:rFonts w:ascii="Arial" w:hAnsi="Arial" w:cs="Arial"/>
          <w:sz w:val="20"/>
        </w:rPr>
      </w:pPr>
      <w:r w:rsidRPr="00AC06F5">
        <w:rPr>
          <w:rFonts w:ascii="Arial" w:hAnsi="Arial" w:cs="Arial"/>
          <w:sz w:val="20"/>
        </w:rPr>
        <w:t>Insurance experience a pre-requisite, be it Company or Lloyd’s market.</w:t>
      </w:r>
    </w:p>
    <w:p w14:paraId="624A2C38" w14:textId="77777777" w:rsidR="009346A9" w:rsidRPr="00AC06F5" w:rsidRDefault="009346A9" w:rsidP="009346A9">
      <w:pPr>
        <w:pStyle w:val="ListParagraph"/>
        <w:numPr>
          <w:ilvl w:val="0"/>
          <w:numId w:val="30"/>
        </w:numPr>
        <w:spacing w:after="0" w:line="240" w:lineRule="auto"/>
        <w:rPr>
          <w:rFonts w:ascii="Arial" w:hAnsi="Arial" w:cs="Arial"/>
          <w:sz w:val="20"/>
          <w:lang w:val="en-US"/>
        </w:rPr>
      </w:pPr>
      <w:r w:rsidRPr="00AC06F5">
        <w:rPr>
          <w:rFonts w:ascii="Arial" w:hAnsi="Arial" w:cs="Arial"/>
          <w:sz w:val="20"/>
          <w:lang w:val="en-US"/>
        </w:rPr>
        <w:t>Self-starter, problem-solver, critical-thinker in questioning veracity of figures to pre-empt questions, and able to work independently.</w:t>
      </w:r>
    </w:p>
    <w:p w14:paraId="528F5AC7" w14:textId="77777777" w:rsidR="00AC06F5" w:rsidRPr="00AC06F5" w:rsidRDefault="00AC06F5" w:rsidP="00F33D11">
      <w:pPr>
        <w:rPr>
          <w:rFonts w:ascii="Roboto Slab" w:hAnsi="Roboto Slab"/>
          <w:color w:val="auto"/>
          <w:szCs w:val="24"/>
          <w:lang w:val="en-US"/>
        </w:rPr>
      </w:pPr>
    </w:p>
    <w:p w14:paraId="609A567D" w14:textId="77777777" w:rsidR="00F33D11" w:rsidRPr="00AC06F5" w:rsidRDefault="00F33D11" w:rsidP="00F33D11">
      <w:pPr>
        <w:rPr>
          <w:rFonts w:ascii="Roboto Slab" w:hAnsi="Roboto Slab"/>
          <w:color w:val="auto"/>
          <w:szCs w:val="24"/>
          <w:lang w:val="en-US"/>
        </w:rPr>
      </w:pPr>
      <w:r w:rsidRPr="00AC06F5">
        <w:rPr>
          <w:rFonts w:ascii="Roboto Slab" w:hAnsi="Roboto Slab"/>
          <w:color w:val="auto"/>
          <w:szCs w:val="24"/>
          <w:lang w:val="en-US"/>
        </w:rPr>
        <w:t>Name (PRINT)</w:t>
      </w:r>
      <w:proofErr w:type="gramStart"/>
      <w:r w:rsidRPr="00AC06F5">
        <w:rPr>
          <w:rFonts w:ascii="Roboto Slab" w:hAnsi="Roboto Slab"/>
          <w:color w:val="auto"/>
          <w:szCs w:val="24"/>
          <w:lang w:val="en-US"/>
        </w:rPr>
        <w:t>: .</w:t>
      </w:r>
      <w:proofErr w:type="gramEnd"/>
      <w:r w:rsidRPr="00AC06F5">
        <w:rPr>
          <w:rFonts w:ascii="Roboto Slab" w:hAnsi="Roboto Slab"/>
          <w:color w:val="auto"/>
          <w:szCs w:val="24"/>
          <w:lang w:val="en-US"/>
        </w:rPr>
        <w:t>…………………………………………………………………</w:t>
      </w:r>
    </w:p>
    <w:p w14:paraId="1BF4DD38" w14:textId="77777777" w:rsidR="00F33D11" w:rsidRPr="00AC06F5" w:rsidRDefault="00F33D11" w:rsidP="00F33D11">
      <w:pPr>
        <w:rPr>
          <w:rFonts w:ascii="Roboto Slab" w:hAnsi="Roboto Slab"/>
          <w:color w:val="auto"/>
          <w:szCs w:val="24"/>
          <w:lang w:val="en-US"/>
        </w:rPr>
      </w:pPr>
    </w:p>
    <w:p w14:paraId="1BD75EB9" w14:textId="77777777" w:rsidR="00F33D11" w:rsidRPr="00AC06F5" w:rsidRDefault="00F33D11" w:rsidP="00F33D11">
      <w:pPr>
        <w:rPr>
          <w:rFonts w:ascii="Roboto Slab" w:hAnsi="Roboto Slab"/>
          <w:color w:val="auto"/>
          <w:szCs w:val="24"/>
          <w:lang w:val="en-US"/>
        </w:rPr>
      </w:pPr>
      <w:r w:rsidRPr="00AC06F5">
        <w:rPr>
          <w:rFonts w:ascii="Roboto Slab" w:hAnsi="Roboto Slab"/>
          <w:color w:val="auto"/>
          <w:szCs w:val="24"/>
          <w:lang w:val="en-US"/>
        </w:rPr>
        <w:t>Signature: …………………………………………………………………………</w:t>
      </w:r>
    </w:p>
    <w:p w14:paraId="3059AD95" w14:textId="77777777" w:rsidR="00F33D11" w:rsidRPr="00AC06F5" w:rsidRDefault="00F33D11" w:rsidP="00F33D11">
      <w:pPr>
        <w:rPr>
          <w:rFonts w:ascii="Roboto Slab" w:hAnsi="Roboto Slab"/>
          <w:color w:val="auto"/>
          <w:szCs w:val="24"/>
          <w:lang w:val="en-US"/>
        </w:rPr>
      </w:pPr>
    </w:p>
    <w:p w14:paraId="7B6506D1" w14:textId="77777777" w:rsidR="00F33D11" w:rsidRPr="00AC06F5" w:rsidRDefault="00F33D11" w:rsidP="00F33D11">
      <w:pPr>
        <w:rPr>
          <w:rFonts w:ascii="Roboto Slab" w:hAnsi="Roboto Slab"/>
          <w:color w:val="auto"/>
          <w:szCs w:val="24"/>
          <w:lang w:val="en-US"/>
        </w:rPr>
      </w:pPr>
      <w:r w:rsidRPr="00AC06F5">
        <w:rPr>
          <w:rFonts w:ascii="Roboto Slab" w:hAnsi="Roboto Slab"/>
          <w:color w:val="auto"/>
          <w:szCs w:val="24"/>
          <w:lang w:val="en-US"/>
        </w:rPr>
        <w:t>Date: …………………………………………………………………………………</w:t>
      </w:r>
    </w:p>
    <w:p w14:paraId="6DC36A06" w14:textId="77777777" w:rsidR="006C6F76" w:rsidRPr="00AC06F5" w:rsidRDefault="006C6F76" w:rsidP="006C6F76">
      <w:pPr>
        <w:spacing w:after="25" w:line="360" w:lineRule="auto"/>
        <w:rPr>
          <w:rFonts w:ascii="Roboto Slab" w:hAnsi="Roboto Slab" w:cs="Arial"/>
          <w:sz w:val="20"/>
        </w:rPr>
      </w:pPr>
    </w:p>
    <w:sectPr w:rsidR="006C6F76" w:rsidRPr="00AC06F5">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C9915" w14:textId="77777777" w:rsidR="00265297" w:rsidRDefault="00265297" w:rsidP="002424BC">
      <w:pPr>
        <w:spacing w:after="0" w:line="240" w:lineRule="auto"/>
      </w:pPr>
      <w:r>
        <w:separator/>
      </w:r>
    </w:p>
  </w:endnote>
  <w:endnote w:type="continuationSeparator" w:id="0">
    <w:p w14:paraId="58342485" w14:textId="77777777" w:rsidR="00265297" w:rsidRDefault="00265297"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22F76" w14:textId="77777777" w:rsidR="00265297" w:rsidRDefault="00265297" w:rsidP="002424BC">
      <w:pPr>
        <w:spacing w:after="0" w:line="240" w:lineRule="auto"/>
      </w:pPr>
      <w:r>
        <w:separator/>
      </w:r>
    </w:p>
  </w:footnote>
  <w:footnote w:type="continuationSeparator" w:id="0">
    <w:p w14:paraId="42A47971" w14:textId="77777777" w:rsidR="00265297" w:rsidRDefault="00265297"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49CF" w14:textId="77777777"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04677E1E"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43C"/>
    <w:multiLevelType w:val="hybridMultilevel"/>
    <w:tmpl w:val="AA6EC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D3574"/>
    <w:multiLevelType w:val="hybridMultilevel"/>
    <w:tmpl w:val="3EE09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2BCBD40">
      <w:numFmt w:val="bullet"/>
      <w:lvlText w:val="-"/>
      <w:lvlJc w:val="left"/>
      <w:pPr>
        <w:ind w:left="2160" w:hanging="36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3"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8155F"/>
    <w:multiLevelType w:val="hybridMultilevel"/>
    <w:tmpl w:val="1EA0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2BCBD40">
      <w:numFmt w:val="bullet"/>
      <w:lvlText w:val="-"/>
      <w:lvlJc w:val="left"/>
      <w:pPr>
        <w:ind w:left="2160" w:hanging="36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437276"/>
    <w:multiLevelType w:val="hybridMultilevel"/>
    <w:tmpl w:val="0A18A642"/>
    <w:lvl w:ilvl="0" w:tplc="0809000B">
      <w:start w:val="1"/>
      <w:numFmt w:val="bullet"/>
      <w:lvlText w:val=""/>
      <w:lvlJc w:val="left"/>
      <w:pPr>
        <w:ind w:left="1440" w:hanging="360"/>
      </w:pPr>
      <w:rPr>
        <w:rFonts w:ascii="Wingdings" w:hAnsi="Wingdings" w:hint="default"/>
      </w:rPr>
    </w:lvl>
    <w:lvl w:ilvl="1" w:tplc="0809000B">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E05C39"/>
    <w:multiLevelType w:val="hybridMultilevel"/>
    <w:tmpl w:val="9E1E6C96"/>
    <w:lvl w:ilvl="0" w:tplc="C15457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CD7DE6"/>
    <w:multiLevelType w:val="hybridMultilevel"/>
    <w:tmpl w:val="7D00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9"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9F4857"/>
    <w:multiLevelType w:val="hybridMultilevel"/>
    <w:tmpl w:val="0F942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2BCBD40">
      <w:numFmt w:val="bullet"/>
      <w:lvlText w:val="-"/>
      <w:lvlJc w:val="left"/>
      <w:pPr>
        <w:ind w:left="2160" w:hanging="36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085C6B"/>
    <w:multiLevelType w:val="hybridMultilevel"/>
    <w:tmpl w:val="6BBA2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2BCBD40">
      <w:numFmt w:val="bullet"/>
      <w:lvlText w:val="-"/>
      <w:lvlJc w:val="left"/>
      <w:pPr>
        <w:ind w:left="2160" w:hanging="36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2"/>
  </w:num>
  <w:num w:numId="4">
    <w:abstractNumId w:val="28"/>
  </w:num>
  <w:num w:numId="5">
    <w:abstractNumId w:val="8"/>
  </w:num>
  <w:num w:numId="6">
    <w:abstractNumId w:val="19"/>
  </w:num>
  <w:num w:numId="7">
    <w:abstractNumId w:val="20"/>
  </w:num>
  <w:num w:numId="8">
    <w:abstractNumId w:val="15"/>
  </w:num>
  <w:num w:numId="9">
    <w:abstractNumId w:val="22"/>
  </w:num>
  <w:num w:numId="10">
    <w:abstractNumId w:val="21"/>
  </w:num>
  <w:num w:numId="11">
    <w:abstractNumId w:val="5"/>
  </w:num>
  <w:num w:numId="12">
    <w:abstractNumId w:val="3"/>
  </w:num>
  <w:num w:numId="13">
    <w:abstractNumId w:val="4"/>
  </w:num>
  <w:num w:numId="14">
    <w:abstractNumId w:val="11"/>
  </w:num>
  <w:num w:numId="15">
    <w:abstractNumId w:val="25"/>
  </w:num>
  <w:num w:numId="16">
    <w:abstractNumId w:val="18"/>
  </w:num>
  <w:num w:numId="17">
    <w:abstractNumId w:val="7"/>
  </w:num>
  <w:num w:numId="18">
    <w:abstractNumId w:val="5"/>
  </w:num>
  <w:num w:numId="19">
    <w:abstractNumId w:val="14"/>
  </w:num>
  <w:num w:numId="20">
    <w:abstractNumId w:val="1"/>
  </w:num>
  <w:num w:numId="21">
    <w:abstractNumId w:val="29"/>
  </w:num>
  <w:num w:numId="22">
    <w:abstractNumId w:val="2"/>
  </w:num>
  <w:num w:numId="23">
    <w:abstractNumId w:val="9"/>
  </w:num>
  <w:num w:numId="24">
    <w:abstractNumId w:val="13"/>
  </w:num>
  <w:num w:numId="25">
    <w:abstractNumId w:val="24"/>
  </w:num>
  <w:num w:numId="26">
    <w:abstractNumId w:val="10"/>
  </w:num>
  <w:num w:numId="27">
    <w:abstractNumId w:val="23"/>
  </w:num>
  <w:num w:numId="28">
    <w:abstractNumId w:val="26"/>
  </w:num>
  <w:num w:numId="29">
    <w:abstractNumId w:val="0"/>
  </w:num>
  <w:num w:numId="30">
    <w:abstractNumId w:val="27"/>
  </w:num>
  <w:num w:numId="31">
    <w:abstractNumId w:val="30"/>
  </w:num>
  <w:num w:numId="32">
    <w:abstractNumId w:val="1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126025"/>
    <w:rsid w:val="00140EB5"/>
    <w:rsid w:val="00160A6F"/>
    <w:rsid w:val="002103F1"/>
    <w:rsid w:val="002207F4"/>
    <w:rsid w:val="0024176D"/>
    <w:rsid w:val="002424BC"/>
    <w:rsid w:val="00265297"/>
    <w:rsid w:val="00282ADA"/>
    <w:rsid w:val="002928C4"/>
    <w:rsid w:val="002D3761"/>
    <w:rsid w:val="00436D6D"/>
    <w:rsid w:val="004741CA"/>
    <w:rsid w:val="004D11D0"/>
    <w:rsid w:val="004E3870"/>
    <w:rsid w:val="005B08E8"/>
    <w:rsid w:val="006C6F76"/>
    <w:rsid w:val="008103BB"/>
    <w:rsid w:val="00893160"/>
    <w:rsid w:val="008D24E4"/>
    <w:rsid w:val="008E1541"/>
    <w:rsid w:val="009346A9"/>
    <w:rsid w:val="009B4C60"/>
    <w:rsid w:val="00AC06F5"/>
    <w:rsid w:val="00AD607B"/>
    <w:rsid w:val="00B11C41"/>
    <w:rsid w:val="00B50DE9"/>
    <w:rsid w:val="00B529FE"/>
    <w:rsid w:val="00BE27DD"/>
    <w:rsid w:val="00BF10E8"/>
    <w:rsid w:val="00C43846"/>
    <w:rsid w:val="00CB16F5"/>
    <w:rsid w:val="00F06199"/>
    <w:rsid w:val="00F33D11"/>
    <w:rsid w:val="00F355E1"/>
    <w:rsid w:val="00F51B59"/>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0B56"/>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odyText">
    <w:name w:val="Body Text"/>
    <w:link w:val="BodyTextChar"/>
    <w:rsid w:val="009346A9"/>
    <w:pPr>
      <w:spacing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rsid w:val="009346A9"/>
    <w:rPr>
      <w:rFonts w:ascii="Times New Roman" w:eastAsia="Times New Roman" w:hAnsi="Times New Roman" w:cs="Times New Roman"/>
      <w:color w:val="000000"/>
      <w:sz w:val="24"/>
      <w:szCs w:val="20"/>
      <w:lang w:val="en-US" w:eastAsia="en-US"/>
    </w:rPr>
  </w:style>
  <w:style w:type="paragraph" w:styleId="BalloonText">
    <w:name w:val="Balloon Text"/>
    <w:basedOn w:val="Normal"/>
    <w:link w:val="BalloonTextChar"/>
    <w:uiPriority w:val="99"/>
    <w:semiHidden/>
    <w:unhideWhenUsed/>
    <w:rsid w:val="00BF1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0E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EEDBA-414B-4181-B86C-3E935038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Hope, Janine</cp:lastModifiedBy>
  <cp:revision>3</cp:revision>
  <dcterms:created xsi:type="dcterms:W3CDTF">2020-03-09T16:03:00Z</dcterms:created>
  <dcterms:modified xsi:type="dcterms:W3CDTF">2020-03-09T17:00:00Z</dcterms:modified>
</cp:coreProperties>
</file>