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568" w:rsidRPr="00EA0F35" w:rsidRDefault="00BB4C34" w:rsidP="006F7568">
      <w:pPr>
        <w:rPr>
          <w:rFonts w:ascii="Arial" w:hAnsi="Arial" w:cs="Arial"/>
          <w:b/>
          <w:sz w:val="48"/>
          <w:szCs w:val="48"/>
        </w:rPr>
      </w:pPr>
      <w:r>
        <w:rPr>
          <w:rFonts w:ascii="Arial" w:hAnsi="Arial" w:cs="Arial"/>
          <w:b/>
          <w:sz w:val="48"/>
          <w:szCs w:val="48"/>
        </w:rPr>
        <w:t xml:space="preserve">Regulatory Reporting </w:t>
      </w:r>
      <w:r w:rsidR="00FD2A79">
        <w:rPr>
          <w:rFonts w:ascii="Arial" w:hAnsi="Arial" w:cs="Arial"/>
          <w:b/>
          <w:sz w:val="48"/>
          <w:szCs w:val="48"/>
        </w:rPr>
        <w:t>Manager</w:t>
      </w:r>
    </w:p>
    <w:p w:rsidR="003868DE" w:rsidRPr="006F7568" w:rsidRDefault="003868DE" w:rsidP="006F7568">
      <w:pPr>
        <w:rPr>
          <w:rFonts w:ascii="Arial" w:hAnsi="Arial" w:cs="Arial"/>
          <w:b/>
          <w:sz w:val="28"/>
        </w:rPr>
      </w:pPr>
      <w:r w:rsidRPr="006F7568">
        <w:rPr>
          <w:rFonts w:ascii="Arial" w:hAnsi="Arial" w:cs="Arial"/>
          <w:b/>
          <w:sz w:val="28"/>
        </w:rPr>
        <w:t>London EC3A</w:t>
      </w:r>
      <w:r w:rsidR="00933521">
        <w:rPr>
          <w:rFonts w:ascii="Arial" w:hAnsi="Arial" w:cs="Arial"/>
          <w:b/>
          <w:sz w:val="28"/>
        </w:rPr>
        <w:t xml:space="preserve"> </w:t>
      </w:r>
    </w:p>
    <w:p w:rsidR="003868DE" w:rsidRPr="006F7568" w:rsidRDefault="006F7568" w:rsidP="003E11D3">
      <w:pPr>
        <w:rPr>
          <w:rFonts w:ascii="Arial" w:hAnsi="Arial" w:cs="Arial"/>
        </w:rPr>
      </w:pPr>
      <w:r w:rsidRPr="006F7568">
        <w:rPr>
          <w:rFonts w:ascii="Arial" w:hAnsi="Arial" w:cs="Arial"/>
          <w:noProof/>
          <w:lang w:eastAsia="en-GB"/>
        </w:rPr>
        <w:drawing>
          <wp:inline distT="0" distB="0" distL="0" distR="0" wp14:anchorId="312334F9" wp14:editId="2EB408D4">
            <wp:extent cx="5731510" cy="37662"/>
            <wp:effectExtent l="0" t="0" r="0" b="635"/>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5731510" cy="37662"/>
                    </a:xfrm>
                    <a:prstGeom prst="rect">
                      <a:avLst/>
                    </a:prstGeom>
                  </pic:spPr>
                </pic:pic>
              </a:graphicData>
            </a:graphic>
          </wp:inline>
        </w:drawing>
      </w:r>
    </w:p>
    <w:p w:rsidR="006F7568" w:rsidRDefault="006F7568" w:rsidP="006F7568">
      <w:pPr>
        <w:pStyle w:val="Heading1"/>
        <w:spacing w:line="240" w:lineRule="auto"/>
        <w:ind w:left="-5"/>
        <w:rPr>
          <w:rFonts w:asciiTheme="minorHAnsi" w:hAnsiTheme="minorHAnsi" w:cs="Arial"/>
          <w:b/>
        </w:rPr>
      </w:pPr>
      <w:r>
        <w:rPr>
          <w:rFonts w:asciiTheme="minorHAnsi" w:hAnsiTheme="minorHAnsi" w:cs="Arial"/>
          <w:b/>
        </w:rPr>
        <w:t>ABOUT US</w:t>
      </w:r>
    </w:p>
    <w:p w:rsidR="006F7568" w:rsidRPr="006F7568" w:rsidRDefault="006F7568" w:rsidP="006F7568">
      <w:pPr>
        <w:spacing w:after="0" w:line="240" w:lineRule="auto"/>
        <w:rPr>
          <w:lang w:eastAsia="en-GB"/>
        </w:rPr>
      </w:pPr>
    </w:p>
    <w:p w:rsidR="00BB4C34" w:rsidRDefault="006F0B18" w:rsidP="00982C51">
      <w:pPr>
        <w:autoSpaceDE w:val="0"/>
        <w:autoSpaceDN w:val="0"/>
        <w:jc w:val="both"/>
        <w:rPr>
          <w:color w:val="000000"/>
        </w:rPr>
      </w:pPr>
      <w:r>
        <w:rPr>
          <w:color w:val="000000"/>
        </w:rPr>
        <w:t>ERS is a leading underwriter of a wide range of specialist motor insurance products. Within ERS’s strategy of being the UKs leading specialist motor insurer, our focus is on delivering sustainable, high margin growth in these segments through the provision of high quality propositions to a wide range of broker partners.</w:t>
      </w:r>
    </w:p>
    <w:p w:rsidR="006F7568" w:rsidRPr="00FD2A79" w:rsidRDefault="006F7568" w:rsidP="00FD2A79">
      <w:pPr>
        <w:rPr>
          <w:rFonts w:cs="Arial"/>
          <w:b/>
        </w:rPr>
      </w:pPr>
      <w:r>
        <w:rPr>
          <w:rFonts w:cs="Arial"/>
          <w:noProof/>
          <w:lang w:eastAsia="en-GB"/>
        </w:rPr>
        <mc:AlternateContent>
          <mc:Choice Requires="wps">
            <w:drawing>
              <wp:anchor distT="0" distB="0" distL="114300" distR="114300" simplePos="0" relativeHeight="251659264" behindDoc="0" locked="0" layoutInCell="1" allowOverlap="1">
                <wp:simplePos x="0" y="0"/>
                <wp:positionH relativeFrom="margin">
                  <wp:posOffset>-2540</wp:posOffset>
                </wp:positionH>
                <wp:positionV relativeFrom="paragraph">
                  <wp:posOffset>1270</wp:posOffset>
                </wp:positionV>
                <wp:extent cx="57054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705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41BFD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1pt" to="449.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" strokecolor="black [3200]" strokeweight=".5pt">
                <v:stroke joinstyle="miter"/>
                <w10:wrap anchorx="margin"/>
              </v:line>
            </w:pict>
          </mc:Fallback>
        </mc:AlternateContent>
      </w:r>
      <w:r w:rsidR="00FD2A79">
        <w:rPr>
          <w:rFonts w:cs="Arial"/>
          <w:b/>
        </w:rPr>
        <w:br/>
      </w:r>
      <w:r>
        <w:rPr>
          <w:rFonts w:cs="Arial"/>
          <w:b/>
        </w:rPr>
        <w:t>THE ROLE</w:t>
      </w:r>
    </w:p>
    <w:p w:rsidR="00FD2A79" w:rsidRDefault="00BB4C34" w:rsidP="00982C51">
      <w:pPr>
        <w:pStyle w:val="NoSpacing"/>
        <w:jc w:val="both"/>
        <w:rPr>
          <w:rFonts w:ascii="Calibri" w:hAnsi="Calibri"/>
        </w:rPr>
      </w:pPr>
      <w:r w:rsidRPr="0073367C">
        <w:rPr>
          <w:bCs/>
        </w:rPr>
        <w:t xml:space="preserve">Reporting to </w:t>
      </w:r>
      <w:r w:rsidR="00FD2A79">
        <w:rPr>
          <w:bCs/>
        </w:rPr>
        <w:t xml:space="preserve">the Syndicate Financial Controller, you will be responsible for managing the </w:t>
      </w:r>
      <w:r w:rsidR="00FD2A79" w:rsidRPr="00945A5D">
        <w:rPr>
          <w:rFonts w:ascii="Calibri" w:hAnsi="Calibri"/>
        </w:rPr>
        <w:t xml:space="preserve">production of syndicate and </w:t>
      </w:r>
      <w:r w:rsidR="00FD2A79">
        <w:rPr>
          <w:rFonts w:ascii="Calibri" w:hAnsi="Calibri"/>
        </w:rPr>
        <w:t xml:space="preserve">statutory accounts, returns to </w:t>
      </w:r>
      <w:r w:rsidR="00FD2A79" w:rsidRPr="00945A5D">
        <w:rPr>
          <w:rFonts w:ascii="Calibri" w:hAnsi="Calibri"/>
        </w:rPr>
        <w:t>Lloyd’s and other regulatory organisations</w:t>
      </w:r>
      <w:r w:rsidR="00FD2A79">
        <w:rPr>
          <w:rFonts w:ascii="Calibri" w:hAnsi="Calibri"/>
        </w:rPr>
        <w:t>.  The Regulatory Reporting Accountant will report directly to you, and support with these activities.</w:t>
      </w:r>
    </w:p>
    <w:p w:rsidR="00FD2A79" w:rsidRDefault="00FD2A79" w:rsidP="00982C51">
      <w:pPr>
        <w:pStyle w:val="NoSpacing"/>
        <w:jc w:val="both"/>
        <w:rPr>
          <w:rFonts w:ascii="Calibri" w:hAnsi="Calibri"/>
        </w:rPr>
      </w:pPr>
    </w:p>
    <w:p w:rsidR="00FD2A79" w:rsidRDefault="00FD2A79" w:rsidP="00982C51">
      <w:pPr>
        <w:pStyle w:val="NoSpacing"/>
        <w:jc w:val="both"/>
        <w:rPr>
          <w:rFonts w:ascii="Calibri" w:hAnsi="Calibri"/>
        </w:rPr>
      </w:pPr>
      <w:r>
        <w:rPr>
          <w:rFonts w:ascii="Calibri" w:hAnsi="Calibri"/>
        </w:rPr>
        <w:t>Key responsibilities include:</w:t>
      </w:r>
    </w:p>
    <w:p w:rsidR="00FD2A79" w:rsidRPr="00AE5B3D" w:rsidRDefault="00FD2A79" w:rsidP="00FD2A79">
      <w:pPr>
        <w:numPr>
          <w:ilvl w:val="0"/>
          <w:numId w:val="12"/>
        </w:numPr>
        <w:spacing w:after="0" w:line="240" w:lineRule="auto"/>
        <w:jc w:val="both"/>
        <w:rPr>
          <w:rFonts w:ascii="Calibri" w:hAnsi="Calibri"/>
          <w:lang w:val="en-US"/>
        </w:rPr>
      </w:pPr>
      <w:r w:rsidRPr="00AE5B3D">
        <w:rPr>
          <w:rFonts w:ascii="Calibri" w:hAnsi="Calibri"/>
          <w:lang w:val="en-US"/>
        </w:rPr>
        <w:t xml:space="preserve">To </w:t>
      </w:r>
      <w:r>
        <w:rPr>
          <w:rFonts w:ascii="Calibri" w:hAnsi="Calibri"/>
          <w:lang w:val="en-US"/>
        </w:rPr>
        <w:t xml:space="preserve">manage the production of </w:t>
      </w:r>
      <w:r w:rsidRPr="00AE5B3D">
        <w:rPr>
          <w:rFonts w:ascii="Calibri" w:hAnsi="Calibri"/>
          <w:lang w:val="en-US"/>
        </w:rPr>
        <w:t>all regulatory returns, syndicate and statutory accounts  to ensure accuracy</w:t>
      </w:r>
      <w:r>
        <w:rPr>
          <w:rFonts w:ascii="Calibri" w:hAnsi="Calibri"/>
          <w:lang w:val="en-US"/>
        </w:rPr>
        <w:t xml:space="preserve"> and completeness</w:t>
      </w:r>
      <w:r w:rsidRPr="00AE5B3D">
        <w:rPr>
          <w:rFonts w:ascii="Calibri" w:hAnsi="Calibri"/>
          <w:lang w:val="en-US"/>
        </w:rPr>
        <w:t xml:space="preserve">  </w:t>
      </w:r>
    </w:p>
    <w:p w:rsidR="00FD2A79" w:rsidRPr="00AE5B3D" w:rsidRDefault="00FD2A79" w:rsidP="00FD2A79">
      <w:pPr>
        <w:numPr>
          <w:ilvl w:val="0"/>
          <w:numId w:val="12"/>
        </w:numPr>
        <w:spacing w:after="0" w:line="240" w:lineRule="auto"/>
        <w:jc w:val="both"/>
        <w:rPr>
          <w:rFonts w:ascii="Calibri" w:hAnsi="Calibri"/>
          <w:lang w:val="en-US"/>
        </w:rPr>
      </w:pPr>
      <w:r w:rsidRPr="00AE5B3D">
        <w:rPr>
          <w:rFonts w:ascii="Calibri" w:hAnsi="Calibri"/>
          <w:lang w:val="en-US"/>
        </w:rPr>
        <w:t xml:space="preserve">To regularly review the Syndicate 218 balance sheet and to advise the </w:t>
      </w:r>
      <w:r>
        <w:rPr>
          <w:rFonts w:ascii="Calibri" w:hAnsi="Calibri"/>
          <w:lang w:val="en-US"/>
        </w:rPr>
        <w:t xml:space="preserve">Syndicate Finance </w:t>
      </w:r>
      <w:r w:rsidRPr="00AE5B3D">
        <w:rPr>
          <w:rFonts w:ascii="Calibri" w:hAnsi="Calibri"/>
          <w:lang w:val="en-US"/>
        </w:rPr>
        <w:t>team of adjustments that are required</w:t>
      </w:r>
    </w:p>
    <w:p w:rsidR="00FD2A79" w:rsidRDefault="00FD2A79" w:rsidP="00FD2A79">
      <w:pPr>
        <w:numPr>
          <w:ilvl w:val="0"/>
          <w:numId w:val="12"/>
        </w:numPr>
        <w:spacing w:after="0" w:line="240" w:lineRule="auto"/>
        <w:jc w:val="both"/>
        <w:rPr>
          <w:rFonts w:ascii="Calibri" w:hAnsi="Calibri"/>
          <w:lang w:val="en-US"/>
        </w:rPr>
      </w:pPr>
      <w:r w:rsidRPr="00AE5B3D">
        <w:rPr>
          <w:rFonts w:ascii="Calibri" w:hAnsi="Calibri"/>
          <w:lang w:val="en-US"/>
        </w:rPr>
        <w:t xml:space="preserve">To establish and maintain contacts within regulatory </w:t>
      </w:r>
      <w:proofErr w:type="spellStart"/>
      <w:r w:rsidRPr="00AE5B3D">
        <w:rPr>
          <w:rFonts w:ascii="Calibri" w:hAnsi="Calibri"/>
          <w:lang w:val="en-US"/>
        </w:rPr>
        <w:t>organisations</w:t>
      </w:r>
      <w:proofErr w:type="spellEnd"/>
      <w:r w:rsidRPr="00AE5B3D">
        <w:rPr>
          <w:rFonts w:ascii="Calibri" w:hAnsi="Calibri"/>
          <w:lang w:val="en-US"/>
        </w:rPr>
        <w:t xml:space="preserve"> in order to resolve queries swiftly and accurately</w:t>
      </w:r>
    </w:p>
    <w:p w:rsidR="00FD2A79" w:rsidRPr="00AE5B3D" w:rsidRDefault="00FD2A79" w:rsidP="00FD2A79">
      <w:pPr>
        <w:numPr>
          <w:ilvl w:val="0"/>
          <w:numId w:val="12"/>
        </w:numPr>
        <w:spacing w:after="0" w:line="240" w:lineRule="auto"/>
        <w:jc w:val="both"/>
        <w:rPr>
          <w:rFonts w:ascii="Calibri" w:hAnsi="Calibri"/>
          <w:lang w:val="en-US"/>
        </w:rPr>
      </w:pPr>
      <w:r w:rsidRPr="00AE5B3D">
        <w:rPr>
          <w:rFonts w:ascii="Calibri" w:hAnsi="Calibri"/>
          <w:lang w:val="en-US"/>
        </w:rPr>
        <w:t>To liaise with external auditors and actuaries, providing appropriate information as required</w:t>
      </w:r>
    </w:p>
    <w:p w:rsidR="00FD2A79" w:rsidRPr="00FD2A79" w:rsidRDefault="00FD2A79" w:rsidP="00982C51">
      <w:pPr>
        <w:numPr>
          <w:ilvl w:val="0"/>
          <w:numId w:val="12"/>
        </w:numPr>
        <w:spacing w:after="0" w:line="240" w:lineRule="auto"/>
        <w:jc w:val="both"/>
        <w:rPr>
          <w:rFonts w:ascii="Calibri" w:hAnsi="Calibri"/>
          <w:lang w:val="en-US"/>
        </w:rPr>
      </w:pPr>
      <w:r w:rsidRPr="00AE5B3D">
        <w:rPr>
          <w:rFonts w:ascii="Calibri" w:hAnsi="Calibri"/>
          <w:lang w:val="en-US"/>
        </w:rPr>
        <w:t xml:space="preserve">To liaise with the </w:t>
      </w:r>
      <w:r>
        <w:rPr>
          <w:rFonts w:ascii="Calibri" w:hAnsi="Calibri"/>
          <w:lang w:val="en-US"/>
        </w:rPr>
        <w:t xml:space="preserve">Lloyd’s </w:t>
      </w:r>
      <w:r w:rsidRPr="00AE5B3D">
        <w:rPr>
          <w:rFonts w:ascii="Calibri" w:hAnsi="Calibri"/>
          <w:lang w:val="en-US"/>
        </w:rPr>
        <w:t>Compliance Office and keep up to date with Lloyd’s regulations and bulletins and incorporate changes as required</w:t>
      </w:r>
    </w:p>
    <w:p w:rsidR="00FD2A79" w:rsidRDefault="00FD2A79" w:rsidP="00982C51">
      <w:pPr>
        <w:pStyle w:val="NoSpacing"/>
        <w:jc w:val="both"/>
        <w:rPr>
          <w:bCs/>
        </w:rPr>
      </w:pPr>
    </w:p>
    <w:p w:rsidR="00FD2A79" w:rsidRDefault="00FD2A79" w:rsidP="00FD2A79">
      <w:pPr>
        <w:pStyle w:val="BodyText"/>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cs="Arial"/>
          <w:noProof/>
          <w:lang w:val="en-GB" w:eastAsia="en-GB"/>
        </w:rPr>
        <mc:AlternateContent>
          <mc:Choice Requires="wps">
            <w:drawing>
              <wp:anchor distT="0" distB="0" distL="114300" distR="114300" simplePos="0" relativeHeight="251670528" behindDoc="0" locked="0" layoutInCell="1" allowOverlap="1" wp14:anchorId="07234096" wp14:editId="6E7178D4">
                <wp:simplePos x="0" y="0"/>
                <wp:positionH relativeFrom="margin">
                  <wp:posOffset>0</wp:posOffset>
                </wp:positionH>
                <wp:positionV relativeFrom="paragraph">
                  <wp:posOffset>0</wp:posOffset>
                </wp:positionV>
                <wp:extent cx="570547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705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4F5253" id="Straight Connector 4"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4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" strokecolor="black [3200]" strokeweight=".5pt">
                <v:stroke joinstyle="miter"/>
                <w10:wrap anchorx="margin"/>
              </v:line>
            </w:pict>
          </mc:Fallback>
        </mc:AlternateContent>
      </w:r>
    </w:p>
    <w:p w:rsidR="00FD2A79" w:rsidRDefault="00FD2A79" w:rsidP="00FD2A79">
      <w:pPr>
        <w:spacing w:after="0" w:line="240" w:lineRule="auto"/>
        <w:rPr>
          <w:rFonts w:eastAsia="Times New Roman" w:cs="Arial"/>
          <w:b/>
          <w:color w:val="333333"/>
          <w:lang w:val="en" w:eastAsia="en-GB"/>
        </w:rPr>
      </w:pPr>
      <w:r w:rsidRPr="006F0B18">
        <w:rPr>
          <w:rFonts w:eastAsia="Times New Roman" w:cs="Arial"/>
          <w:b/>
          <w:color w:val="333333"/>
          <w:lang w:val="en" w:eastAsia="en-GB"/>
        </w:rPr>
        <w:t>SKILLS &amp; EXPERIENCE</w:t>
      </w:r>
    </w:p>
    <w:p w:rsidR="00FD2A79" w:rsidRPr="006F0B18" w:rsidRDefault="00FD2A79" w:rsidP="00FD2A79">
      <w:pPr>
        <w:spacing w:after="0" w:line="240" w:lineRule="auto"/>
        <w:rPr>
          <w:rFonts w:eastAsia="Times New Roman" w:cs="Arial"/>
          <w:b/>
          <w:color w:val="333333"/>
          <w:lang w:val="en" w:eastAsia="en-GB"/>
        </w:rPr>
      </w:pPr>
    </w:p>
    <w:p w:rsidR="00FD2A79" w:rsidRDefault="00FD2A79" w:rsidP="00FD2A79">
      <w:pPr>
        <w:pStyle w:val="BodyText"/>
        <w:numPr>
          <w:ilvl w:val="0"/>
          <w:numId w:val="10"/>
        </w:numPr>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color w:val="auto"/>
          <w:sz w:val="22"/>
          <w:szCs w:val="22"/>
        </w:rPr>
      </w:pPr>
      <w:r w:rsidRPr="00AE5B3D">
        <w:rPr>
          <w:rFonts w:ascii="Calibri" w:hAnsi="Calibri"/>
          <w:color w:val="auto"/>
          <w:sz w:val="22"/>
          <w:szCs w:val="22"/>
        </w:rPr>
        <w:t xml:space="preserve">Strong grasp of UK </w:t>
      </w:r>
      <w:r>
        <w:rPr>
          <w:rFonts w:ascii="Calibri" w:hAnsi="Calibri"/>
          <w:color w:val="auto"/>
          <w:sz w:val="22"/>
          <w:szCs w:val="22"/>
        </w:rPr>
        <w:t xml:space="preserve">Insurance </w:t>
      </w:r>
      <w:r w:rsidRPr="00AE5B3D">
        <w:rPr>
          <w:rFonts w:ascii="Calibri" w:hAnsi="Calibri"/>
          <w:color w:val="auto"/>
          <w:sz w:val="22"/>
          <w:szCs w:val="22"/>
        </w:rPr>
        <w:t>GAAP</w:t>
      </w:r>
    </w:p>
    <w:p w:rsidR="00FD2A79" w:rsidRDefault="00FD2A79" w:rsidP="00FD2A79">
      <w:pPr>
        <w:pStyle w:val="BodyText"/>
        <w:numPr>
          <w:ilvl w:val="0"/>
          <w:numId w:val="10"/>
        </w:numPr>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color w:val="auto"/>
          <w:sz w:val="22"/>
          <w:szCs w:val="22"/>
        </w:rPr>
      </w:pPr>
      <w:r>
        <w:rPr>
          <w:rFonts w:ascii="Calibri" w:hAnsi="Calibri"/>
          <w:color w:val="auto"/>
          <w:sz w:val="22"/>
          <w:szCs w:val="22"/>
        </w:rPr>
        <w:t>Understanding of Lloyd’s syndicate accounting</w:t>
      </w:r>
      <w:r w:rsidRPr="00AE5B3D">
        <w:rPr>
          <w:rFonts w:ascii="Calibri" w:hAnsi="Calibri"/>
          <w:color w:val="auto"/>
          <w:sz w:val="22"/>
          <w:szCs w:val="22"/>
        </w:rPr>
        <w:t xml:space="preserve"> </w:t>
      </w:r>
    </w:p>
    <w:p w:rsidR="00FD2A79" w:rsidRDefault="00FD2A79" w:rsidP="00FD2A79">
      <w:pPr>
        <w:pStyle w:val="BodyText"/>
        <w:numPr>
          <w:ilvl w:val="0"/>
          <w:numId w:val="10"/>
        </w:numPr>
        <w:tabs>
          <w:tab w:val="left" w:pos="709"/>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color w:val="auto"/>
          <w:sz w:val="22"/>
          <w:szCs w:val="22"/>
        </w:rPr>
      </w:pPr>
      <w:r w:rsidRPr="00AE5B3D">
        <w:rPr>
          <w:rFonts w:ascii="Calibri" w:hAnsi="Calibri"/>
          <w:color w:val="auto"/>
          <w:sz w:val="22"/>
          <w:szCs w:val="22"/>
        </w:rPr>
        <w:t>Lloyd’s regulations, byelaws and reporting requirements</w:t>
      </w:r>
    </w:p>
    <w:p w:rsidR="00FD2A79" w:rsidRDefault="00FD2A79" w:rsidP="00FD2A79">
      <w:pPr>
        <w:numPr>
          <w:ilvl w:val="0"/>
          <w:numId w:val="10"/>
        </w:numPr>
        <w:spacing w:after="0" w:line="240" w:lineRule="auto"/>
        <w:jc w:val="both"/>
        <w:rPr>
          <w:rFonts w:ascii="Calibri" w:hAnsi="Calibri"/>
          <w:lang w:val="en-US"/>
        </w:rPr>
      </w:pPr>
      <w:r>
        <w:rPr>
          <w:rFonts w:ascii="Calibri" w:hAnsi="Calibri"/>
          <w:lang w:val="en-US"/>
        </w:rPr>
        <w:t xml:space="preserve">Microsoft office applications – in particular advanced excel </w:t>
      </w:r>
    </w:p>
    <w:p w:rsidR="00FD2A79" w:rsidRDefault="00FD2A79" w:rsidP="00FD2A79">
      <w:pPr>
        <w:numPr>
          <w:ilvl w:val="0"/>
          <w:numId w:val="10"/>
        </w:numPr>
        <w:spacing w:after="0" w:line="240" w:lineRule="auto"/>
        <w:jc w:val="both"/>
        <w:rPr>
          <w:rFonts w:ascii="Calibri" w:hAnsi="Calibri"/>
          <w:lang w:val="en-US"/>
        </w:rPr>
      </w:pPr>
      <w:r>
        <w:rPr>
          <w:rFonts w:ascii="Calibri" w:hAnsi="Calibri"/>
          <w:lang w:val="en-US"/>
        </w:rPr>
        <w:t>Sun accounts, TM1 and Vision</w:t>
      </w:r>
    </w:p>
    <w:p w:rsidR="00FD2A79" w:rsidRDefault="00FD2A79" w:rsidP="00FD2A79">
      <w:pPr>
        <w:numPr>
          <w:ilvl w:val="0"/>
          <w:numId w:val="10"/>
        </w:numPr>
        <w:spacing w:after="0" w:line="240" w:lineRule="auto"/>
        <w:jc w:val="both"/>
        <w:rPr>
          <w:rFonts w:ascii="Calibri" w:hAnsi="Calibri"/>
          <w:lang w:val="en-US"/>
        </w:rPr>
      </w:pPr>
      <w:r>
        <w:rPr>
          <w:rFonts w:ascii="Calibri" w:hAnsi="Calibri"/>
          <w:lang w:val="en-US"/>
        </w:rPr>
        <w:t>Lloyd’s systems applications</w:t>
      </w:r>
    </w:p>
    <w:p w:rsidR="00FD2A79" w:rsidRDefault="00FD2A79" w:rsidP="00FD2A79">
      <w:pPr>
        <w:spacing w:after="0" w:line="240" w:lineRule="auto"/>
        <w:jc w:val="both"/>
        <w:rPr>
          <w:rFonts w:ascii="Calibri" w:hAnsi="Calibri"/>
          <w:lang w:val="en-US"/>
        </w:rPr>
      </w:pPr>
    </w:p>
    <w:p w:rsidR="00FD2A79" w:rsidRPr="00FD2A79" w:rsidRDefault="00FD2A79" w:rsidP="00FD2A79">
      <w:pPr>
        <w:pStyle w:val="ListParagraph"/>
        <w:numPr>
          <w:ilvl w:val="0"/>
          <w:numId w:val="11"/>
        </w:numPr>
        <w:tabs>
          <w:tab w:val="left" w:pos="1839"/>
          <w:tab w:val="num" w:pos="1899"/>
        </w:tabs>
        <w:spacing w:after="0" w:line="240" w:lineRule="auto"/>
        <w:jc w:val="both"/>
      </w:pPr>
      <w:r w:rsidRPr="00FD2A79">
        <w:rPr>
          <w:lang w:val="en"/>
        </w:rPr>
        <w:t>ACA/ACCA/CIMA accountancy qualification with excellent academic credentials</w:t>
      </w:r>
    </w:p>
    <w:p w:rsidR="00FD2A79" w:rsidRDefault="00FD2A79" w:rsidP="00FD2A79">
      <w:pPr>
        <w:numPr>
          <w:ilvl w:val="0"/>
          <w:numId w:val="11"/>
        </w:numPr>
        <w:tabs>
          <w:tab w:val="left" w:pos="1839"/>
          <w:tab w:val="num" w:pos="1899"/>
        </w:tabs>
        <w:spacing w:after="0" w:line="240" w:lineRule="auto"/>
        <w:jc w:val="both"/>
        <w:rPr>
          <w:rFonts w:ascii="Calibri" w:hAnsi="Calibri" w:cs="Calibri"/>
        </w:rPr>
      </w:pPr>
      <w:r w:rsidRPr="00452B60">
        <w:rPr>
          <w:rFonts w:ascii="Calibri" w:hAnsi="Calibri" w:cs="Calibri"/>
        </w:rPr>
        <w:t>Insura</w:t>
      </w:r>
      <w:r>
        <w:rPr>
          <w:rFonts w:ascii="Calibri" w:hAnsi="Calibri" w:cs="Calibri"/>
        </w:rPr>
        <w:t>nce experience a pre-requisite (Lloyd’s experience preferred but not essential)</w:t>
      </w:r>
    </w:p>
    <w:p w:rsidR="00FD2A79" w:rsidRPr="002D0AD8" w:rsidRDefault="00FD2A79" w:rsidP="00FD2A79">
      <w:pPr>
        <w:numPr>
          <w:ilvl w:val="0"/>
          <w:numId w:val="11"/>
        </w:numPr>
        <w:spacing w:after="0" w:line="240" w:lineRule="auto"/>
        <w:rPr>
          <w:rFonts w:ascii="Calibri" w:hAnsi="Calibri"/>
          <w:lang w:val="en-US"/>
        </w:rPr>
      </w:pPr>
      <w:r w:rsidRPr="002D0AD8">
        <w:rPr>
          <w:rFonts w:ascii="Calibri" w:hAnsi="Calibri"/>
          <w:lang w:val="en-US"/>
        </w:rPr>
        <w:t xml:space="preserve">Good </w:t>
      </w:r>
      <w:r>
        <w:rPr>
          <w:rFonts w:ascii="Calibri" w:hAnsi="Calibri"/>
          <w:lang w:val="en-US"/>
        </w:rPr>
        <w:t>people</w:t>
      </w:r>
      <w:r w:rsidRPr="002D0AD8">
        <w:rPr>
          <w:rFonts w:ascii="Calibri" w:hAnsi="Calibri"/>
          <w:lang w:val="en-US"/>
        </w:rPr>
        <w:t xml:space="preserve"> management skills </w:t>
      </w:r>
      <w:r>
        <w:rPr>
          <w:rFonts w:ascii="Calibri" w:hAnsi="Calibri"/>
          <w:lang w:val="en-US"/>
        </w:rPr>
        <w:t xml:space="preserve">with a </w:t>
      </w:r>
      <w:r w:rsidRPr="002D0AD8">
        <w:rPr>
          <w:rFonts w:ascii="Calibri" w:hAnsi="Calibri"/>
          <w:lang w:val="en-US"/>
        </w:rPr>
        <w:t>track record of managing small professional teams</w:t>
      </w:r>
    </w:p>
    <w:p w:rsidR="00FD2A79" w:rsidRPr="0079248E" w:rsidRDefault="00FD2A79" w:rsidP="00FD2A79">
      <w:pPr>
        <w:spacing w:after="0" w:line="240" w:lineRule="auto"/>
        <w:jc w:val="both"/>
        <w:rPr>
          <w:rFonts w:ascii="Calibri" w:hAnsi="Calibri"/>
          <w:lang w:val="en-US"/>
        </w:rPr>
      </w:pPr>
    </w:p>
    <w:p w:rsidR="00FD2A79" w:rsidRDefault="00FD2A79" w:rsidP="00FD2A79">
      <w:pPr>
        <w:pStyle w:val="BodyText"/>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cs="Arial"/>
          <w:noProof/>
          <w:lang w:val="en-GB" w:eastAsia="en-GB"/>
        </w:rPr>
        <mc:AlternateContent>
          <mc:Choice Requires="wps">
            <w:drawing>
              <wp:anchor distT="0" distB="0" distL="114300" distR="114300" simplePos="0" relativeHeight="251669504" behindDoc="0" locked="0" layoutInCell="1" allowOverlap="1" wp14:anchorId="12356204" wp14:editId="24FDF6D1">
                <wp:simplePos x="0" y="0"/>
                <wp:positionH relativeFrom="margin">
                  <wp:posOffset>0</wp:posOffset>
                </wp:positionH>
                <wp:positionV relativeFrom="paragraph">
                  <wp:posOffset>0</wp:posOffset>
                </wp:positionV>
                <wp:extent cx="570547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5705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95344E" id="Straight Connector 6"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4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" strokecolor="black [3200]" strokeweight=".5pt">
                <v:stroke joinstyle="miter"/>
                <w10:wrap anchorx="margin"/>
              </v:line>
            </w:pict>
          </mc:Fallback>
        </mc:AlternateContent>
      </w:r>
    </w:p>
    <w:p w:rsidR="00FD2A79" w:rsidRDefault="00FD2A79" w:rsidP="00FD2A79">
      <w:pPr>
        <w:shd w:val="clear" w:color="auto" w:fill="FFFFFF"/>
        <w:spacing w:after="0" w:line="240" w:lineRule="auto"/>
        <w:rPr>
          <w:rFonts w:eastAsia="Times New Roman" w:cs="Segoe UI"/>
          <w:lang w:val="en" w:eastAsia="en-GB"/>
        </w:rPr>
      </w:pPr>
      <w:r>
        <w:rPr>
          <w:rFonts w:eastAsia="Times New Roman" w:cs="Segoe UI"/>
          <w:b/>
          <w:bCs/>
          <w:lang w:val="en" w:eastAsia="en-GB"/>
        </w:rPr>
        <w:t>W</w:t>
      </w:r>
      <w:r w:rsidRPr="00F767E6">
        <w:rPr>
          <w:rFonts w:eastAsia="Times New Roman" w:cs="Segoe UI"/>
          <w:b/>
          <w:bCs/>
          <w:lang w:val="en" w:eastAsia="en-GB"/>
        </w:rPr>
        <w:t>H</w:t>
      </w:r>
      <w:r>
        <w:rPr>
          <w:rFonts w:eastAsia="Times New Roman" w:cs="Segoe UI"/>
          <w:b/>
          <w:bCs/>
          <w:lang w:val="en" w:eastAsia="en-GB"/>
        </w:rPr>
        <w:t>A</w:t>
      </w:r>
      <w:r w:rsidRPr="00F767E6">
        <w:rPr>
          <w:rFonts w:eastAsia="Times New Roman" w:cs="Segoe UI"/>
          <w:b/>
          <w:bCs/>
          <w:lang w:val="en" w:eastAsia="en-GB"/>
        </w:rPr>
        <w:t>T WE OFFER</w:t>
      </w:r>
      <w:r w:rsidRPr="00F767E6">
        <w:rPr>
          <w:rFonts w:eastAsia="Times New Roman" w:cs="Segoe UI"/>
          <w:lang w:val="en" w:eastAsia="en-GB"/>
        </w:rPr>
        <w:t xml:space="preserve">  </w:t>
      </w:r>
    </w:p>
    <w:p w:rsidR="00FD2A79" w:rsidRPr="00F767E6" w:rsidRDefault="00FD2A79" w:rsidP="00FD2A79">
      <w:pPr>
        <w:shd w:val="clear" w:color="auto" w:fill="FFFFFF"/>
        <w:spacing w:after="0" w:line="240" w:lineRule="auto"/>
        <w:rPr>
          <w:rFonts w:eastAsia="Times New Roman" w:cs="Segoe UI"/>
          <w:lang w:val="en" w:eastAsia="en-GB"/>
        </w:rPr>
      </w:pPr>
    </w:p>
    <w:p w:rsidR="00FD2A79" w:rsidRDefault="00FD2A79" w:rsidP="00FD2A79">
      <w:pPr>
        <w:shd w:val="clear" w:color="auto" w:fill="FFFFFF"/>
        <w:spacing w:after="0" w:line="240" w:lineRule="auto"/>
        <w:rPr>
          <w:rFonts w:eastAsia="Times New Roman" w:cs="Segoe UI"/>
          <w:lang w:val="en" w:eastAsia="en-GB"/>
        </w:rPr>
      </w:pPr>
      <w:r w:rsidRPr="00F767E6">
        <w:rPr>
          <w:rFonts w:eastAsia="Times New Roman" w:cs="Segoe UI"/>
          <w:lang w:val="en" w:eastAsia="en-GB"/>
        </w:rPr>
        <w:t xml:space="preserve">As well as a competitive salary, this role also offers: </w:t>
      </w:r>
    </w:p>
    <w:p w:rsidR="00FD2A79" w:rsidRPr="00F767E6" w:rsidRDefault="00FD2A79" w:rsidP="00FD2A79">
      <w:pPr>
        <w:numPr>
          <w:ilvl w:val="0"/>
          <w:numId w:val="9"/>
        </w:numPr>
        <w:shd w:val="clear" w:color="auto" w:fill="FFFFFF"/>
        <w:spacing w:after="0" w:line="320" w:lineRule="atLeast"/>
        <w:ind w:left="714" w:hanging="357"/>
        <w:rPr>
          <w:rFonts w:eastAsia="Times New Roman" w:cs="Segoe UI"/>
          <w:lang w:val="en" w:eastAsia="en-GB"/>
        </w:rPr>
      </w:pPr>
      <w:r w:rsidRPr="00F767E6">
        <w:rPr>
          <w:rFonts w:eastAsia="Times New Roman" w:cs="Segoe UI"/>
          <w:lang w:val="en" w:eastAsia="en-GB"/>
        </w:rPr>
        <w:t>Perf</w:t>
      </w:r>
      <w:r>
        <w:rPr>
          <w:rFonts w:eastAsia="Times New Roman" w:cs="Segoe UI"/>
          <w:lang w:val="en" w:eastAsia="en-GB"/>
        </w:rPr>
        <w:t>ormance profit share bonus (c.12</w:t>
      </w:r>
      <w:r w:rsidRPr="00F767E6">
        <w:rPr>
          <w:rFonts w:eastAsia="Times New Roman" w:cs="Segoe UI"/>
          <w:lang w:val="en" w:eastAsia="en-GB"/>
        </w:rPr>
        <w:t xml:space="preserve">% of salary) </w:t>
      </w:r>
    </w:p>
    <w:p w:rsidR="00FD2A79" w:rsidRPr="00F767E6" w:rsidRDefault="00FD2A79" w:rsidP="00FD2A79">
      <w:pPr>
        <w:numPr>
          <w:ilvl w:val="0"/>
          <w:numId w:val="9"/>
        </w:numPr>
        <w:shd w:val="clear" w:color="auto" w:fill="FFFFFF"/>
        <w:spacing w:after="0" w:line="320" w:lineRule="atLeast"/>
        <w:ind w:left="714" w:hanging="357"/>
        <w:rPr>
          <w:rFonts w:eastAsia="Times New Roman" w:cs="Segoe UI"/>
          <w:lang w:val="en" w:eastAsia="en-GB"/>
        </w:rPr>
      </w:pPr>
      <w:r w:rsidRPr="00F767E6">
        <w:rPr>
          <w:rFonts w:eastAsia="Times New Roman" w:cs="Segoe UI"/>
          <w:lang w:val="en" w:eastAsia="en-GB"/>
        </w:rPr>
        <w:t xml:space="preserve">25 days holiday plus bank holidays </w:t>
      </w:r>
    </w:p>
    <w:p w:rsidR="00FD2A79" w:rsidRPr="00F767E6" w:rsidRDefault="00FD2A79" w:rsidP="00FD2A79">
      <w:pPr>
        <w:numPr>
          <w:ilvl w:val="0"/>
          <w:numId w:val="9"/>
        </w:numPr>
        <w:shd w:val="clear" w:color="auto" w:fill="FFFFFF"/>
        <w:spacing w:after="0" w:line="320" w:lineRule="atLeast"/>
        <w:ind w:left="714" w:hanging="357"/>
        <w:rPr>
          <w:rFonts w:eastAsia="Times New Roman" w:cs="Segoe UI"/>
          <w:lang w:val="en" w:eastAsia="en-GB"/>
        </w:rPr>
      </w:pPr>
      <w:r w:rsidRPr="00F767E6">
        <w:rPr>
          <w:rFonts w:eastAsia="Times New Roman" w:cs="Segoe UI"/>
          <w:lang w:val="en" w:eastAsia="en-GB"/>
        </w:rPr>
        <w:t>Em</w:t>
      </w:r>
      <w:r>
        <w:rPr>
          <w:rFonts w:eastAsia="Times New Roman" w:cs="Segoe UI"/>
          <w:lang w:val="en" w:eastAsia="en-GB"/>
        </w:rPr>
        <w:t>pl</w:t>
      </w:r>
      <w:bookmarkStart w:id="0" w:name="_GoBack"/>
      <w:bookmarkEnd w:id="0"/>
      <w:r>
        <w:rPr>
          <w:rFonts w:eastAsia="Times New Roman" w:cs="Segoe UI"/>
          <w:lang w:val="en" w:eastAsia="en-GB"/>
        </w:rPr>
        <w:t>oyer pension contribution of 5</w:t>
      </w:r>
      <w:r w:rsidRPr="00F767E6">
        <w:rPr>
          <w:rFonts w:eastAsia="Times New Roman" w:cs="Segoe UI"/>
          <w:lang w:val="en" w:eastAsia="en-GB"/>
        </w:rPr>
        <w:t xml:space="preserve">%, with employee contribution of 3%+ </w:t>
      </w:r>
    </w:p>
    <w:p w:rsidR="00FD2A79" w:rsidRPr="00F767E6" w:rsidRDefault="00FD2A79" w:rsidP="00FD2A79">
      <w:pPr>
        <w:numPr>
          <w:ilvl w:val="0"/>
          <w:numId w:val="9"/>
        </w:numPr>
        <w:shd w:val="clear" w:color="auto" w:fill="FFFFFF"/>
        <w:spacing w:after="0" w:line="320" w:lineRule="atLeast"/>
        <w:ind w:left="714" w:hanging="357"/>
        <w:rPr>
          <w:rFonts w:eastAsia="Times New Roman" w:cs="Segoe UI"/>
          <w:lang w:val="en" w:eastAsia="en-GB"/>
        </w:rPr>
      </w:pPr>
      <w:r w:rsidRPr="00F767E6">
        <w:rPr>
          <w:rFonts w:eastAsia="Times New Roman" w:cs="Segoe UI"/>
          <w:lang w:val="en" w:eastAsia="en-GB"/>
        </w:rPr>
        <w:t xml:space="preserve">Single cover private medical insurance </w:t>
      </w:r>
    </w:p>
    <w:p w:rsidR="00FD2A79" w:rsidRDefault="00FD2A79" w:rsidP="00FD2A79">
      <w:pPr>
        <w:numPr>
          <w:ilvl w:val="0"/>
          <w:numId w:val="9"/>
        </w:numPr>
        <w:shd w:val="clear" w:color="auto" w:fill="FFFFFF"/>
        <w:spacing w:after="0" w:line="320" w:lineRule="atLeast"/>
        <w:ind w:left="714" w:hanging="357"/>
        <w:rPr>
          <w:rFonts w:eastAsia="Times New Roman" w:cs="Segoe UI"/>
          <w:lang w:val="en" w:eastAsia="en-GB"/>
        </w:rPr>
      </w:pPr>
      <w:r w:rsidRPr="00F767E6">
        <w:rPr>
          <w:rFonts w:eastAsia="Times New Roman" w:cs="Segoe UI"/>
          <w:lang w:val="en" w:eastAsia="en-GB"/>
        </w:rPr>
        <w:t xml:space="preserve">4 x salary life assurance   </w:t>
      </w:r>
    </w:p>
    <w:p w:rsidR="00FD2A79" w:rsidRPr="00F767E6" w:rsidRDefault="00FD2A79" w:rsidP="00FD2A79">
      <w:pPr>
        <w:numPr>
          <w:ilvl w:val="0"/>
          <w:numId w:val="9"/>
        </w:numPr>
        <w:shd w:val="clear" w:color="auto" w:fill="FFFFFF"/>
        <w:spacing w:after="0" w:line="320" w:lineRule="atLeast"/>
        <w:ind w:left="714" w:hanging="357"/>
        <w:rPr>
          <w:rFonts w:eastAsia="Times New Roman" w:cs="Segoe UI"/>
          <w:lang w:val="en" w:eastAsia="en-GB"/>
        </w:rPr>
      </w:pPr>
      <w:r>
        <w:rPr>
          <w:rFonts w:eastAsia="Times New Roman" w:cs="Segoe UI"/>
          <w:lang w:val="en" w:eastAsia="en-GB"/>
        </w:rPr>
        <w:t>Income protection insurance</w:t>
      </w:r>
    </w:p>
    <w:p w:rsidR="00FD2A79" w:rsidRPr="00F767E6" w:rsidRDefault="00FD2A79" w:rsidP="00FD2A79">
      <w:pPr>
        <w:shd w:val="clear" w:color="auto" w:fill="FFFFFF"/>
        <w:spacing w:before="100" w:beforeAutospacing="1" w:after="100" w:afterAutospacing="1" w:line="360" w:lineRule="atLeast"/>
        <w:rPr>
          <w:rFonts w:eastAsia="Times New Roman" w:cs="Segoe UI"/>
          <w:lang w:val="en" w:eastAsia="en-GB"/>
        </w:rPr>
      </w:pPr>
      <w:r w:rsidRPr="00F767E6">
        <w:rPr>
          <w:rFonts w:eastAsia="Times New Roman" w:cs="Segoe UI"/>
          <w:lang w:val="en" w:eastAsia="en-GB"/>
        </w:rPr>
        <w:t xml:space="preserve">You will also have access to flexible benefits, which are employee paid, and includes: holiday buy, gym membership, car salary sacrifice, critical illness insurance, </w:t>
      </w:r>
      <w:proofErr w:type="gramStart"/>
      <w:r w:rsidRPr="00F767E6">
        <w:rPr>
          <w:rFonts w:eastAsia="Times New Roman" w:cs="Segoe UI"/>
          <w:lang w:val="en" w:eastAsia="en-GB"/>
        </w:rPr>
        <w:t>health</w:t>
      </w:r>
      <w:proofErr w:type="gramEnd"/>
      <w:r w:rsidRPr="00F767E6">
        <w:rPr>
          <w:rFonts w:eastAsia="Times New Roman" w:cs="Segoe UI"/>
          <w:lang w:val="en" w:eastAsia="en-GB"/>
        </w:rPr>
        <w:t xml:space="preserve"> screening - allowing you the freedom to choose those that are most appropriate for you.      </w:t>
      </w:r>
    </w:p>
    <w:p w:rsidR="00285CD4" w:rsidRDefault="00285CD4" w:rsidP="00B42E8E">
      <w:pPr>
        <w:pStyle w:val="BodyText"/>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cs="Arial"/>
          <w:noProof/>
          <w:lang w:val="en-GB" w:eastAsia="en-GB"/>
        </w:rPr>
        <mc:AlternateContent>
          <mc:Choice Requires="wps">
            <w:drawing>
              <wp:anchor distT="0" distB="0" distL="114300" distR="114300" simplePos="0" relativeHeight="251661312" behindDoc="0" locked="0" layoutInCell="1" allowOverlap="1" wp14:anchorId="0A40E177" wp14:editId="76163D16">
                <wp:simplePos x="0" y="0"/>
                <wp:positionH relativeFrom="margin">
                  <wp:posOffset>0</wp:posOffset>
                </wp:positionH>
                <wp:positionV relativeFrom="paragraph">
                  <wp:posOffset>0</wp:posOffset>
                </wp:positionV>
                <wp:extent cx="57054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705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21845"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4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" strokecolor="black [3200]" strokeweight=".5pt">
                <v:stroke joinstyle="miter"/>
                <w10:wrap anchorx="margin"/>
              </v:line>
            </w:pict>
          </mc:Fallback>
        </mc:AlternateContent>
      </w:r>
    </w:p>
    <w:p w:rsidR="006F0B18" w:rsidRPr="00A85951" w:rsidRDefault="006F0B18" w:rsidP="006F0B18">
      <w:pPr>
        <w:spacing w:after="0"/>
        <w:jc w:val="both"/>
        <w:rPr>
          <w:b/>
        </w:rPr>
      </w:pPr>
      <w:r w:rsidRPr="00A85951">
        <w:rPr>
          <w:b/>
        </w:rPr>
        <w:t xml:space="preserve">To apply please send your CV to us at </w:t>
      </w:r>
      <w:hyperlink r:id="rId8" w:history="1">
        <w:r w:rsidRPr="00A85951">
          <w:rPr>
            <w:rStyle w:val="Hyperlink"/>
            <w:b/>
          </w:rPr>
          <w:t>careers@ers.com</w:t>
        </w:r>
      </w:hyperlink>
    </w:p>
    <w:p w:rsidR="00285CD4" w:rsidRDefault="00285CD4" w:rsidP="00285CD4">
      <w:pPr>
        <w:pStyle w:val="BodyText"/>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982C51" w:rsidRDefault="006F0B18" w:rsidP="00982C51">
      <w:pPr>
        <w:pStyle w:val="BodyText"/>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lang w:val="en"/>
        </w:rPr>
      </w:pPr>
      <w:r>
        <w:rPr>
          <w:rFonts w:cs="Arial"/>
          <w:noProof/>
          <w:lang w:val="en-GB" w:eastAsia="en-GB"/>
        </w:rPr>
        <mc:AlternateContent>
          <mc:Choice Requires="wps">
            <w:drawing>
              <wp:anchor distT="0" distB="0" distL="114300" distR="114300" simplePos="0" relativeHeight="251667456" behindDoc="0" locked="0" layoutInCell="1" allowOverlap="1" wp14:anchorId="586BE3E1" wp14:editId="3E1222BA">
                <wp:simplePos x="0" y="0"/>
                <wp:positionH relativeFrom="margin">
                  <wp:posOffset>0</wp:posOffset>
                </wp:positionH>
                <wp:positionV relativeFrom="paragraph">
                  <wp:posOffset>0</wp:posOffset>
                </wp:positionV>
                <wp:extent cx="57054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705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D887F0" id="Straight Connector 3"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4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" strokecolor="black [3200]" strokeweight=".5pt">
                <v:stroke joinstyle="miter"/>
                <w10:wrap anchorx="margin"/>
              </v:line>
            </w:pict>
          </mc:Fallback>
        </mc:AlternateContent>
      </w:r>
    </w:p>
    <w:p w:rsidR="000F6B72" w:rsidRPr="00982C51" w:rsidRDefault="000F6B72" w:rsidP="00982C51">
      <w:pPr>
        <w:pStyle w:val="BodyText"/>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jc w:val="both"/>
      </w:pPr>
      <w:r w:rsidRPr="000F6B72">
        <w:rPr>
          <w:rFonts w:asciiTheme="minorHAnsi" w:hAnsiTheme="minorHAnsi"/>
          <w:sz w:val="22"/>
          <w:szCs w:val="22"/>
          <w:lang w:val="en"/>
        </w:rPr>
        <w:t xml:space="preserve">Please ensure that you read our Privacy Notice </w:t>
      </w:r>
      <w:r w:rsidRPr="000F6B72">
        <w:rPr>
          <w:rStyle w:val="Strong"/>
          <w:rFonts w:asciiTheme="minorHAnsi" w:hAnsiTheme="minorHAnsi"/>
          <w:sz w:val="22"/>
          <w:szCs w:val="22"/>
          <w:lang w:val="en"/>
        </w:rPr>
        <w:t>before</w:t>
      </w:r>
      <w:r w:rsidRPr="000F6B72">
        <w:rPr>
          <w:rFonts w:asciiTheme="minorHAnsi" w:hAnsiTheme="minorHAnsi"/>
          <w:sz w:val="22"/>
          <w:szCs w:val="22"/>
          <w:lang w:val="en"/>
        </w:rPr>
        <w:t> submitting an application - ers.com/assets/</w:t>
      </w:r>
      <w:proofErr w:type="spellStart"/>
      <w:r w:rsidRPr="000F6B72">
        <w:rPr>
          <w:rFonts w:asciiTheme="minorHAnsi" w:hAnsiTheme="minorHAnsi"/>
          <w:sz w:val="22"/>
          <w:szCs w:val="22"/>
          <w:lang w:val="en"/>
        </w:rPr>
        <w:t>img</w:t>
      </w:r>
      <w:proofErr w:type="spellEnd"/>
      <w:r w:rsidRPr="000F6B72">
        <w:rPr>
          <w:rFonts w:asciiTheme="minorHAnsi" w:hAnsiTheme="minorHAnsi"/>
          <w:sz w:val="22"/>
          <w:szCs w:val="22"/>
          <w:lang w:val="en"/>
        </w:rPr>
        <w:t>/content/Privacy-Notice.pdf</w:t>
      </w:r>
      <w:r w:rsidR="00982C51">
        <w:rPr>
          <w:rFonts w:asciiTheme="minorHAnsi" w:hAnsiTheme="minorHAnsi"/>
          <w:sz w:val="22"/>
          <w:szCs w:val="22"/>
          <w:lang w:val="en"/>
        </w:rPr>
        <w:t xml:space="preserve"> </w:t>
      </w:r>
    </w:p>
    <w:p w:rsidR="006F0B18" w:rsidRDefault="006F0B18" w:rsidP="00285CD4">
      <w:pPr>
        <w:pStyle w:val="BodyText"/>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sectPr w:rsidR="006F0B18" w:rsidSect="00552E1B">
      <w:headerReference w:type="default" r:id="rId9"/>
      <w:pgSz w:w="11906" w:h="16838"/>
      <w:pgMar w:top="851" w:right="1440" w:bottom="568" w:left="144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0CE" w:rsidRDefault="003250CE" w:rsidP="006F7568">
      <w:pPr>
        <w:spacing w:after="0" w:line="240" w:lineRule="auto"/>
      </w:pPr>
      <w:r>
        <w:separator/>
      </w:r>
    </w:p>
  </w:endnote>
  <w:endnote w:type="continuationSeparator" w:id="0">
    <w:p w:rsidR="003250CE" w:rsidRDefault="003250CE" w:rsidP="006F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0CE" w:rsidRDefault="003250CE" w:rsidP="006F7568">
      <w:pPr>
        <w:spacing w:after="0" w:line="240" w:lineRule="auto"/>
      </w:pPr>
      <w:r>
        <w:separator/>
      </w:r>
    </w:p>
  </w:footnote>
  <w:footnote w:type="continuationSeparator" w:id="0">
    <w:p w:rsidR="003250CE" w:rsidRDefault="003250CE" w:rsidP="006F7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0CE" w:rsidRDefault="003250CE" w:rsidP="006F7568">
    <w:pPr>
      <w:pStyle w:val="Header"/>
      <w:tabs>
        <w:tab w:val="clear" w:pos="4513"/>
        <w:tab w:val="clear" w:pos="9026"/>
      </w:tabs>
      <w:jc w:val="both"/>
    </w:pPr>
    <w:r>
      <w:t xml:space="preserve">                                                                                                                                                           </w:t>
    </w:r>
    <w:r>
      <w:rPr>
        <w:rFonts w:ascii="Arial" w:hAnsi="Arial" w:cs="Arial"/>
        <w:noProof/>
        <w:lang w:eastAsia="en-GB"/>
      </w:rPr>
      <w:drawing>
        <wp:inline distT="0" distB="0" distL="0" distR="0" wp14:anchorId="71F68276" wp14:editId="18F7CC00">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rsidR="003250CE" w:rsidRDefault="003250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F443C"/>
    <w:multiLevelType w:val="hybridMultilevel"/>
    <w:tmpl w:val="832EEE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84E26"/>
    <w:multiLevelType w:val="hybridMultilevel"/>
    <w:tmpl w:val="912A8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B5991"/>
    <w:multiLevelType w:val="multilevel"/>
    <w:tmpl w:val="D4C2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BD3574"/>
    <w:multiLevelType w:val="hybridMultilevel"/>
    <w:tmpl w:val="2C90F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D55C59"/>
    <w:multiLevelType w:val="hybridMultilevel"/>
    <w:tmpl w:val="3E887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EA3C81"/>
    <w:multiLevelType w:val="hybridMultilevel"/>
    <w:tmpl w:val="E506A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5B092D"/>
    <w:multiLevelType w:val="hybridMultilevel"/>
    <w:tmpl w:val="765A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3263C2"/>
    <w:multiLevelType w:val="hybridMultilevel"/>
    <w:tmpl w:val="90D6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E05C39"/>
    <w:multiLevelType w:val="hybridMultilevel"/>
    <w:tmpl w:val="9E1E6C96"/>
    <w:lvl w:ilvl="0" w:tplc="C15457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8"/>
  </w:num>
  <w:num w:numId="5">
    <w:abstractNumId w:val="2"/>
  </w:num>
  <w:num w:numId="6">
    <w:abstractNumId w:val="7"/>
  </w:num>
  <w:num w:numId="7">
    <w:abstractNumId w:val="9"/>
  </w:num>
  <w:num w:numId="8">
    <w:abstractNumId w:val="6"/>
  </w:num>
  <w:num w:numId="9">
    <w:abstractNumId w:val="3"/>
  </w:num>
  <w:num w:numId="10">
    <w:abstractNumId w:val="10"/>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6D"/>
    <w:rsid w:val="000A0492"/>
    <w:rsid w:val="000F6B72"/>
    <w:rsid w:val="001605C3"/>
    <w:rsid w:val="001A1A68"/>
    <w:rsid w:val="00204C68"/>
    <w:rsid w:val="00246E42"/>
    <w:rsid w:val="00254A79"/>
    <w:rsid w:val="00285CD4"/>
    <w:rsid w:val="002E3B3E"/>
    <w:rsid w:val="003250CE"/>
    <w:rsid w:val="00377998"/>
    <w:rsid w:val="003868DE"/>
    <w:rsid w:val="00390F20"/>
    <w:rsid w:val="003E11D3"/>
    <w:rsid w:val="00402F6D"/>
    <w:rsid w:val="0049673E"/>
    <w:rsid w:val="00496FFF"/>
    <w:rsid w:val="00552E1B"/>
    <w:rsid w:val="005D35A3"/>
    <w:rsid w:val="006024B8"/>
    <w:rsid w:val="00624FF8"/>
    <w:rsid w:val="006565F9"/>
    <w:rsid w:val="006644E5"/>
    <w:rsid w:val="006843F8"/>
    <w:rsid w:val="006E19C0"/>
    <w:rsid w:val="006E35BA"/>
    <w:rsid w:val="006F0B18"/>
    <w:rsid w:val="006F7568"/>
    <w:rsid w:val="007A7374"/>
    <w:rsid w:val="007D720C"/>
    <w:rsid w:val="007F7293"/>
    <w:rsid w:val="008B281A"/>
    <w:rsid w:val="00906D35"/>
    <w:rsid w:val="00933521"/>
    <w:rsid w:val="00982C51"/>
    <w:rsid w:val="009A207A"/>
    <w:rsid w:val="009A7FD3"/>
    <w:rsid w:val="009E1FF4"/>
    <w:rsid w:val="009F1911"/>
    <w:rsid w:val="00A70216"/>
    <w:rsid w:val="00A85951"/>
    <w:rsid w:val="00AA5F5E"/>
    <w:rsid w:val="00B42E8E"/>
    <w:rsid w:val="00B71CC3"/>
    <w:rsid w:val="00BA0BE9"/>
    <w:rsid w:val="00BA456A"/>
    <w:rsid w:val="00BB4C34"/>
    <w:rsid w:val="00C3319E"/>
    <w:rsid w:val="00C43216"/>
    <w:rsid w:val="00C62C8E"/>
    <w:rsid w:val="00D263DF"/>
    <w:rsid w:val="00D94684"/>
    <w:rsid w:val="00E14F2C"/>
    <w:rsid w:val="00E50E82"/>
    <w:rsid w:val="00E70C49"/>
    <w:rsid w:val="00EA0F35"/>
    <w:rsid w:val="00EC591C"/>
    <w:rsid w:val="00EF53C1"/>
    <w:rsid w:val="00FD2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84071ED6-5DA4-494E-8400-68D1FDA1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6F7568"/>
    <w:pPr>
      <w:keepNext/>
      <w:keepLines/>
      <w:spacing w:after="0"/>
      <w:ind w:left="10" w:hanging="10"/>
      <w:outlineLvl w:val="0"/>
    </w:pPr>
    <w:rPr>
      <w:rFonts w:ascii="Times New Roman" w:eastAsia="Times New Roman" w:hAnsi="Times New Roman" w:cs="Times New Roman"/>
      <w:color w:val="4040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20C"/>
    <w:rPr>
      <w:rFonts w:ascii="Segoe UI" w:hAnsi="Segoe UI" w:cs="Segoe UI"/>
      <w:sz w:val="18"/>
      <w:szCs w:val="18"/>
    </w:rPr>
  </w:style>
  <w:style w:type="paragraph" w:styleId="Header">
    <w:name w:val="header"/>
    <w:basedOn w:val="Normal"/>
    <w:link w:val="HeaderChar"/>
    <w:uiPriority w:val="99"/>
    <w:unhideWhenUsed/>
    <w:rsid w:val="006F7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568"/>
  </w:style>
  <w:style w:type="paragraph" w:styleId="Footer">
    <w:name w:val="footer"/>
    <w:basedOn w:val="Normal"/>
    <w:link w:val="FooterChar"/>
    <w:uiPriority w:val="99"/>
    <w:unhideWhenUsed/>
    <w:rsid w:val="006F7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568"/>
  </w:style>
  <w:style w:type="character" w:customStyle="1" w:styleId="Heading1Char">
    <w:name w:val="Heading 1 Char"/>
    <w:basedOn w:val="DefaultParagraphFont"/>
    <w:link w:val="Heading1"/>
    <w:rsid w:val="006F7568"/>
    <w:rPr>
      <w:rFonts w:ascii="Times New Roman" w:eastAsia="Times New Roman" w:hAnsi="Times New Roman" w:cs="Times New Roman"/>
      <w:color w:val="404040"/>
      <w:lang w:eastAsia="en-GB"/>
    </w:rPr>
  </w:style>
  <w:style w:type="paragraph" w:styleId="ListParagraph">
    <w:name w:val="List Paragraph"/>
    <w:basedOn w:val="Normal"/>
    <w:uiPriority w:val="34"/>
    <w:qFormat/>
    <w:rsid w:val="001605C3"/>
    <w:pPr>
      <w:ind w:left="720"/>
      <w:contextualSpacing/>
    </w:pPr>
    <w:rPr>
      <w:rFonts w:ascii="Calibri" w:eastAsia="Calibri" w:hAnsi="Calibri" w:cs="Calibri"/>
      <w:color w:val="000000"/>
      <w:lang w:eastAsia="en-GB"/>
    </w:rPr>
  </w:style>
  <w:style w:type="paragraph" w:styleId="BodyText">
    <w:name w:val="Body Text"/>
    <w:link w:val="BodyTextChar"/>
    <w:rsid w:val="001605C3"/>
    <w:pPr>
      <w:spacing w:after="0" w:line="240" w:lineRule="auto"/>
    </w:pPr>
    <w:rPr>
      <w:rFonts w:ascii="Times New Roman" w:eastAsia="Times New Roman" w:hAnsi="Times New Roman" w:cs="Times New Roman"/>
      <w:color w:val="000000"/>
      <w:sz w:val="24"/>
      <w:szCs w:val="20"/>
      <w:lang w:val="en-US"/>
    </w:rPr>
  </w:style>
  <w:style w:type="character" w:customStyle="1" w:styleId="BodyTextChar">
    <w:name w:val="Body Text Char"/>
    <w:basedOn w:val="DefaultParagraphFont"/>
    <w:link w:val="BodyText"/>
    <w:rsid w:val="001605C3"/>
    <w:rPr>
      <w:rFonts w:ascii="Times New Roman" w:eastAsia="Times New Roman" w:hAnsi="Times New Roman" w:cs="Times New Roman"/>
      <w:color w:val="000000"/>
      <w:sz w:val="24"/>
      <w:szCs w:val="20"/>
      <w:lang w:val="en-US"/>
    </w:rPr>
  </w:style>
  <w:style w:type="character" w:styleId="Hyperlink">
    <w:name w:val="Hyperlink"/>
    <w:uiPriority w:val="99"/>
    <w:unhideWhenUsed/>
    <w:rsid w:val="00285CD4"/>
    <w:rPr>
      <w:color w:val="0000FF"/>
      <w:u w:val="single"/>
    </w:rPr>
  </w:style>
  <w:style w:type="character" w:styleId="Strong">
    <w:name w:val="Strong"/>
    <w:basedOn w:val="DefaultParagraphFont"/>
    <w:uiPriority w:val="22"/>
    <w:qFormat/>
    <w:rsid w:val="000F6B72"/>
    <w:rPr>
      <w:b/>
      <w:bCs/>
    </w:rPr>
  </w:style>
  <w:style w:type="paragraph" w:styleId="NormalWeb">
    <w:name w:val="Normal (Web)"/>
    <w:basedOn w:val="Normal"/>
    <w:uiPriority w:val="99"/>
    <w:semiHidden/>
    <w:unhideWhenUsed/>
    <w:rsid w:val="000F6B72"/>
    <w:pPr>
      <w:spacing w:before="100" w:beforeAutospacing="1" w:after="100" w:afterAutospacing="1" w:line="300" w:lineRule="atLeast"/>
    </w:pPr>
    <w:rPr>
      <w:rFonts w:ascii="Helvetica" w:eastAsia="Times New Roman" w:hAnsi="Helvetica" w:cs="Helvetica"/>
      <w:sz w:val="26"/>
      <w:szCs w:val="26"/>
      <w:lang w:eastAsia="en-GB"/>
    </w:rPr>
  </w:style>
  <w:style w:type="paragraph" w:styleId="NoSpacing">
    <w:name w:val="No Spacing"/>
    <w:uiPriority w:val="1"/>
    <w:qFormat/>
    <w:rsid w:val="00BB4C3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5303">
      <w:bodyDiv w:val="1"/>
      <w:marLeft w:val="0"/>
      <w:marRight w:val="0"/>
      <w:marTop w:val="0"/>
      <w:marBottom w:val="0"/>
      <w:divBdr>
        <w:top w:val="none" w:sz="0" w:space="0" w:color="auto"/>
        <w:left w:val="none" w:sz="0" w:space="0" w:color="auto"/>
        <w:bottom w:val="none" w:sz="0" w:space="0" w:color="auto"/>
        <w:right w:val="none" w:sz="0" w:space="0" w:color="auto"/>
      </w:divBdr>
    </w:div>
    <w:div w:id="95639958">
      <w:bodyDiv w:val="1"/>
      <w:marLeft w:val="0"/>
      <w:marRight w:val="0"/>
      <w:marTop w:val="0"/>
      <w:marBottom w:val="0"/>
      <w:divBdr>
        <w:top w:val="none" w:sz="0" w:space="0" w:color="auto"/>
        <w:left w:val="none" w:sz="0" w:space="0" w:color="auto"/>
        <w:bottom w:val="none" w:sz="0" w:space="0" w:color="auto"/>
        <w:right w:val="none" w:sz="0" w:space="0" w:color="auto"/>
      </w:divBdr>
    </w:div>
    <w:div w:id="718285000">
      <w:bodyDiv w:val="1"/>
      <w:marLeft w:val="0"/>
      <w:marRight w:val="0"/>
      <w:marTop w:val="0"/>
      <w:marBottom w:val="0"/>
      <w:divBdr>
        <w:top w:val="none" w:sz="0" w:space="0" w:color="auto"/>
        <w:left w:val="none" w:sz="0" w:space="0" w:color="auto"/>
        <w:bottom w:val="none" w:sz="0" w:space="0" w:color="auto"/>
        <w:right w:val="none" w:sz="0" w:space="0" w:color="auto"/>
      </w:divBdr>
      <w:divsChild>
        <w:div w:id="148593034">
          <w:marLeft w:val="0"/>
          <w:marRight w:val="0"/>
          <w:marTop w:val="0"/>
          <w:marBottom w:val="0"/>
          <w:divBdr>
            <w:top w:val="none" w:sz="0" w:space="0" w:color="auto"/>
            <w:left w:val="none" w:sz="0" w:space="0" w:color="auto"/>
            <w:bottom w:val="none" w:sz="0" w:space="0" w:color="auto"/>
            <w:right w:val="none" w:sz="0" w:space="0" w:color="auto"/>
          </w:divBdr>
          <w:divsChild>
            <w:div w:id="905870778">
              <w:marLeft w:val="0"/>
              <w:marRight w:val="0"/>
              <w:marTop w:val="0"/>
              <w:marBottom w:val="0"/>
              <w:divBdr>
                <w:top w:val="none" w:sz="0" w:space="0" w:color="auto"/>
                <w:left w:val="none" w:sz="0" w:space="0" w:color="auto"/>
                <w:bottom w:val="none" w:sz="0" w:space="0" w:color="auto"/>
                <w:right w:val="none" w:sz="0" w:space="0" w:color="auto"/>
              </w:divBdr>
              <w:divsChild>
                <w:div w:id="2074767566">
                  <w:marLeft w:val="0"/>
                  <w:marRight w:val="0"/>
                  <w:marTop w:val="0"/>
                  <w:marBottom w:val="0"/>
                  <w:divBdr>
                    <w:top w:val="none" w:sz="0" w:space="0" w:color="auto"/>
                    <w:left w:val="none" w:sz="0" w:space="0" w:color="auto"/>
                    <w:bottom w:val="none" w:sz="0" w:space="0" w:color="auto"/>
                    <w:right w:val="none" w:sz="0" w:space="0" w:color="auto"/>
                  </w:divBdr>
                  <w:divsChild>
                    <w:div w:id="1462764978">
                      <w:marLeft w:val="0"/>
                      <w:marRight w:val="0"/>
                      <w:marTop w:val="0"/>
                      <w:marBottom w:val="0"/>
                      <w:divBdr>
                        <w:top w:val="none" w:sz="0" w:space="0" w:color="auto"/>
                        <w:left w:val="none" w:sz="0" w:space="0" w:color="auto"/>
                        <w:bottom w:val="none" w:sz="0" w:space="0" w:color="auto"/>
                        <w:right w:val="none" w:sz="0" w:space="0" w:color="auto"/>
                      </w:divBdr>
                      <w:divsChild>
                        <w:div w:id="1821842680">
                          <w:marLeft w:val="0"/>
                          <w:marRight w:val="0"/>
                          <w:marTop w:val="0"/>
                          <w:marBottom w:val="0"/>
                          <w:divBdr>
                            <w:top w:val="none" w:sz="0" w:space="0" w:color="auto"/>
                            <w:left w:val="none" w:sz="0" w:space="0" w:color="auto"/>
                            <w:bottom w:val="none" w:sz="0" w:space="0" w:color="auto"/>
                            <w:right w:val="none" w:sz="0" w:space="0" w:color="auto"/>
                          </w:divBdr>
                          <w:divsChild>
                            <w:div w:id="1011839660">
                              <w:marLeft w:val="0"/>
                              <w:marRight w:val="0"/>
                              <w:marTop w:val="0"/>
                              <w:marBottom w:val="0"/>
                              <w:divBdr>
                                <w:top w:val="none" w:sz="0" w:space="0" w:color="auto"/>
                                <w:left w:val="none" w:sz="0" w:space="0" w:color="auto"/>
                                <w:bottom w:val="none" w:sz="0" w:space="0" w:color="auto"/>
                                <w:right w:val="none" w:sz="0" w:space="0" w:color="auto"/>
                              </w:divBdr>
                              <w:divsChild>
                                <w:div w:id="1870727200">
                                  <w:marLeft w:val="0"/>
                                  <w:marRight w:val="0"/>
                                  <w:marTop w:val="0"/>
                                  <w:marBottom w:val="0"/>
                                  <w:divBdr>
                                    <w:top w:val="none" w:sz="0" w:space="0" w:color="auto"/>
                                    <w:left w:val="none" w:sz="0" w:space="0" w:color="auto"/>
                                    <w:bottom w:val="none" w:sz="0" w:space="0" w:color="auto"/>
                                    <w:right w:val="none" w:sz="0" w:space="0" w:color="auto"/>
                                  </w:divBdr>
                                  <w:divsChild>
                                    <w:div w:id="1793396333">
                                      <w:marLeft w:val="0"/>
                                      <w:marRight w:val="0"/>
                                      <w:marTop w:val="0"/>
                                      <w:marBottom w:val="0"/>
                                      <w:divBdr>
                                        <w:top w:val="none" w:sz="0" w:space="0" w:color="auto"/>
                                        <w:left w:val="none" w:sz="0" w:space="0" w:color="auto"/>
                                        <w:bottom w:val="none" w:sz="0" w:space="0" w:color="auto"/>
                                        <w:right w:val="none" w:sz="0" w:space="0" w:color="auto"/>
                                      </w:divBdr>
                                      <w:divsChild>
                                        <w:div w:id="2078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384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ers.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Equity Insurance Group</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Lisa</dc:creator>
  <cp:keywords/>
  <dc:description/>
  <cp:lastModifiedBy>Wright, Lisa</cp:lastModifiedBy>
  <cp:revision>3</cp:revision>
  <cp:lastPrinted>2017-12-15T13:22:00Z</cp:lastPrinted>
  <dcterms:created xsi:type="dcterms:W3CDTF">2018-12-10T15:13:00Z</dcterms:created>
  <dcterms:modified xsi:type="dcterms:W3CDTF">2018-12-10T15:25:00Z</dcterms:modified>
</cp:coreProperties>
</file>